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6669" w:rsidRPr="00AA3800" w:rsidRDefault="00DF6A64" w:rsidP="002538E4">
      <w:pPr>
        <w:jc w:val="both"/>
        <w:rPr>
          <w:rFonts w:ascii="Times New Roman" w:hAnsi="Times New Roman" w:cs="Times New Roman"/>
          <w:b/>
        </w:rPr>
      </w:pPr>
      <w:r w:rsidRPr="00AA3800">
        <w:rPr>
          <w:rFonts w:ascii="Times New Roman" w:hAnsi="Times New Roman" w:cs="Times New Roman"/>
          <w:b/>
        </w:rPr>
        <w:t>BFSLA Conference 2021</w:t>
      </w:r>
    </w:p>
    <w:p w:rsidR="00DF6A64" w:rsidRPr="00AA3800" w:rsidRDefault="00DF6A64" w:rsidP="002538E4">
      <w:pPr>
        <w:jc w:val="both"/>
        <w:rPr>
          <w:rFonts w:ascii="Times New Roman" w:hAnsi="Times New Roman" w:cs="Times New Roman"/>
          <w:b/>
        </w:rPr>
      </w:pPr>
      <w:r w:rsidRPr="00AA3800">
        <w:rPr>
          <w:rFonts w:ascii="Times New Roman" w:hAnsi="Times New Roman" w:cs="Times New Roman"/>
          <w:b/>
        </w:rPr>
        <w:t>Shifting Sands: New statutory strategies for promoting good consumer outcomes in Financial Services</w:t>
      </w:r>
    </w:p>
    <w:p w:rsidR="00AA3800" w:rsidRDefault="00AA3800" w:rsidP="00551959">
      <w:pPr>
        <w:jc w:val="center"/>
        <w:rPr>
          <w:rFonts w:ascii="Times New Roman" w:hAnsi="Times New Roman" w:cs="Times New Roman"/>
          <w:b/>
          <w:sz w:val="24"/>
          <w:szCs w:val="24"/>
        </w:rPr>
      </w:pPr>
    </w:p>
    <w:p w:rsidR="001E635B" w:rsidRPr="005B237A" w:rsidRDefault="001E635B" w:rsidP="00551959">
      <w:pPr>
        <w:jc w:val="center"/>
        <w:rPr>
          <w:rFonts w:ascii="Times New Roman" w:hAnsi="Times New Roman" w:cs="Times New Roman"/>
          <w:b/>
          <w:sz w:val="24"/>
          <w:szCs w:val="24"/>
        </w:rPr>
      </w:pPr>
      <w:r w:rsidRPr="00A45BD0">
        <w:rPr>
          <w:rFonts w:ascii="Times New Roman" w:hAnsi="Times New Roman" w:cs="Times New Roman"/>
          <w:b/>
          <w:sz w:val="28"/>
          <w:szCs w:val="28"/>
        </w:rPr>
        <w:t>Dishonesty and Unconscionability: new approaches to ancient concepts</w:t>
      </w:r>
      <w:r>
        <w:rPr>
          <w:rFonts w:ascii="Times New Roman" w:hAnsi="Times New Roman" w:cs="Times New Roman"/>
          <w:b/>
          <w:sz w:val="24"/>
          <w:szCs w:val="24"/>
        </w:rPr>
        <w:br/>
      </w:r>
      <w:r w:rsidRPr="00A45BD0">
        <w:rPr>
          <w:rFonts w:ascii="Times New Roman" w:hAnsi="Times New Roman" w:cs="Times New Roman"/>
          <w:b/>
        </w:rPr>
        <w:t>Elise Bant</w:t>
      </w:r>
      <w:r w:rsidRPr="00A45BD0">
        <w:rPr>
          <w:rFonts w:ascii="Times New Roman" w:hAnsi="Times New Roman" w:cs="Times New Roman"/>
          <w:b/>
        </w:rPr>
        <w:br/>
        <w:t>Professor of Private Law and Commercial Regulation, UWA Law School</w:t>
      </w:r>
    </w:p>
    <w:p w:rsidR="00E364C2" w:rsidRPr="00551959" w:rsidRDefault="00E364C2" w:rsidP="00551959">
      <w:pPr>
        <w:spacing w:after="200" w:line="276" w:lineRule="auto"/>
        <w:ind w:left="360"/>
        <w:jc w:val="both"/>
        <w:rPr>
          <w:rFonts w:ascii="Times New Roman" w:eastAsia="Calibri" w:hAnsi="Times New Roman" w:cs="Times New Roman"/>
          <w:sz w:val="20"/>
          <w:szCs w:val="20"/>
        </w:rPr>
      </w:pPr>
      <w:r w:rsidRPr="00551959">
        <w:rPr>
          <w:rFonts w:ascii="Times New Roman" w:hAnsi="Times New Roman" w:cs="Times New Roman"/>
          <w:sz w:val="20"/>
          <w:szCs w:val="20"/>
        </w:rPr>
        <w:t>This presentation forms part of research funded by the Australian Research Council (</w:t>
      </w:r>
      <w:r w:rsidRPr="00551959">
        <w:rPr>
          <w:rFonts w:ascii="Times New Roman" w:eastAsia="Calibri" w:hAnsi="Times New Roman" w:cs="Times New Roman"/>
          <w:sz w:val="20"/>
          <w:szCs w:val="20"/>
          <w:lang w:val="en-US"/>
        </w:rPr>
        <w:t xml:space="preserve">FT190100475 – see </w:t>
      </w:r>
      <w:hyperlink r:id="rId7" w:history="1">
        <w:r w:rsidRPr="00551959">
          <w:rPr>
            <w:rFonts w:ascii="Times New Roman" w:eastAsia="Calibri" w:hAnsi="Times New Roman" w:cs="Times New Roman"/>
            <w:color w:val="0563C1" w:themeColor="hyperlink"/>
            <w:sz w:val="20"/>
            <w:szCs w:val="20"/>
            <w:u w:val="single"/>
          </w:rPr>
          <w:t>https://www.uwa.edu.au/schools/research/unravelling-corporate-fraud-re-purposing-ancient-doctrines-for-modern-times</w:t>
        </w:r>
      </w:hyperlink>
      <w:r w:rsidRPr="00551959">
        <w:rPr>
          <w:rFonts w:ascii="Times New Roman" w:eastAsia="Calibri" w:hAnsi="Times New Roman" w:cs="Times New Roman"/>
          <w:sz w:val="20"/>
          <w:szCs w:val="20"/>
          <w:lang w:val="en-US"/>
        </w:rPr>
        <w:t xml:space="preserve">) </w:t>
      </w:r>
      <w:r w:rsidRPr="00551959">
        <w:rPr>
          <w:rFonts w:ascii="Times New Roman" w:hAnsi="Times New Roman" w:cs="Times New Roman"/>
          <w:sz w:val="20"/>
          <w:szCs w:val="20"/>
        </w:rPr>
        <w:t xml:space="preserve">to pursue research into holding corporations responsible for serious commercial misconduct, particularly with respect to those statutory, common law and equitable rules and doctrines that require proof of a </w:t>
      </w:r>
      <w:r w:rsidR="00082485" w:rsidRPr="00551959">
        <w:rPr>
          <w:rFonts w:ascii="Times New Roman" w:hAnsi="Times New Roman" w:cs="Times New Roman"/>
          <w:sz w:val="20"/>
          <w:szCs w:val="20"/>
        </w:rPr>
        <w:t xml:space="preserve">culpable </w:t>
      </w:r>
      <w:r w:rsidRPr="00551959">
        <w:rPr>
          <w:rFonts w:ascii="Times New Roman" w:hAnsi="Times New Roman" w:cs="Times New Roman"/>
          <w:sz w:val="20"/>
          <w:szCs w:val="20"/>
        </w:rPr>
        <w:t>state of mind</w:t>
      </w:r>
      <w:r w:rsidR="00EB019D" w:rsidRPr="00551959">
        <w:rPr>
          <w:rFonts w:ascii="Times New Roman" w:hAnsi="Times New Roman" w:cs="Times New Roman"/>
          <w:sz w:val="20"/>
          <w:szCs w:val="20"/>
        </w:rPr>
        <w:t>.</w:t>
      </w:r>
      <w:r w:rsidR="00F0522F" w:rsidRPr="00551959">
        <w:rPr>
          <w:rFonts w:ascii="Times New Roman" w:hAnsi="Times New Roman" w:cs="Times New Roman"/>
          <w:sz w:val="20"/>
          <w:szCs w:val="20"/>
        </w:rPr>
        <w:t xml:space="preserve"> </w:t>
      </w:r>
    </w:p>
    <w:p w:rsidR="001242D6" w:rsidRDefault="001242D6" w:rsidP="001242D6">
      <w:pPr>
        <w:pStyle w:val="ListParagraph"/>
        <w:numPr>
          <w:ilvl w:val="0"/>
          <w:numId w:val="3"/>
        </w:numPr>
        <w:spacing w:after="200" w:line="276"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Introduction</w:t>
      </w:r>
    </w:p>
    <w:p w:rsidR="001242D6" w:rsidRDefault="00DF6A64" w:rsidP="002538E4">
      <w:pPr>
        <w:spacing w:after="200" w:line="276" w:lineRule="auto"/>
        <w:jc w:val="both"/>
      </w:pPr>
      <w:r w:rsidRPr="005B237A">
        <w:rPr>
          <w:rFonts w:ascii="Times New Roman" w:eastAsia="Calibri" w:hAnsi="Times New Roman" w:cs="Times New Roman"/>
        </w:rPr>
        <w:t xml:space="preserve">The legal and equitable standards of dishonesty and unconscionability are of ancient origin. However, their content, and the way they have been conceptualised, has changed significantly over time. They continue to evolve, not least in response to the challenges posed by their application beyond the traditional market-place rogue to the modern, complex corporation. And in Australia’s unique regulatory environment, new statutory concepts that are informed by, but are independent of, </w:t>
      </w:r>
      <w:r w:rsidR="00EB019D" w:rsidRPr="005B237A">
        <w:rPr>
          <w:rFonts w:ascii="Times New Roman" w:eastAsia="Calibri" w:hAnsi="Times New Roman" w:cs="Times New Roman"/>
        </w:rPr>
        <w:t>these</w:t>
      </w:r>
      <w:r w:rsidRPr="005B237A">
        <w:rPr>
          <w:rFonts w:ascii="Times New Roman" w:eastAsia="Calibri" w:hAnsi="Times New Roman" w:cs="Times New Roman"/>
        </w:rPr>
        <w:t xml:space="preserve"> general law </w:t>
      </w:r>
      <w:r w:rsidR="00EB019D" w:rsidRPr="005B237A">
        <w:rPr>
          <w:rFonts w:ascii="Times New Roman" w:eastAsia="Calibri" w:hAnsi="Times New Roman" w:cs="Times New Roman"/>
        </w:rPr>
        <w:t>standards</w:t>
      </w:r>
      <w:r w:rsidRPr="005B237A">
        <w:rPr>
          <w:rFonts w:ascii="Times New Roman" w:eastAsia="Calibri" w:hAnsi="Times New Roman" w:cs="Times New Roman"/>
        </w:rPr>
        <w:t xml:space="preserve"> are increasingly a central weapon in the enforcement </w:t>
      </w:r>
      <w:r w:rsidR="00551959">
        <w:rPr>
          <w:rFonts w:ascii="Times New Roman" w:eastAsia="Calibri" w:hAnsi="Times New Roman" w:cs="Times New Roman"/>
        </w:rPr>
        <w:t>arsenal</w:t>
      </w:r>
      <w:r w:rsidR="0077237A" w:rsidRPr="005B237A">
        <w:rPr>
          <w:rFonts w:ascii="Times New Roman" w:eastAsia="Calibri" w:hAnsi="Times New Roman" w:cs="Times New Roman"/>
        </w:rPr>
        <w:t xml:space="preserve"> </w:t>
      </w:r>
      <w:r w:rsidR="00551959">
        <w:rPr>
          <w:rFonts w:ascii="Times New Roman" w:eastAsia="Calibri" w:hAnsi="Times New Roman" w:cs="Times New Roman"/>
        </w:rPr>
        <w:t>of</w:t>
      </w:r>
      <w:r w:rsidR="00082485">
        <w:rPr>
          <w:rFonts w:ascii="Times New Roman" w:eastAsia="Calibri" w:hAnsi="Times New Roman" w:cs="Times New Roman"/>
        </w:rPr>
        <w:t xml:space="preserve"> regulators </w:t>
      </w:r>
      <w:r w:rsidR="0077237A" w:rsidRPr="005B237A">
        <w:rPr>
          <w:rFonts w:ascii="Times New Roman" w:eastAsia="Calibri" w:hAnsi="Times New Roman" w:cs="Times New Roman"/>
        </w:rPr>
        <w:t>against financial service providers</w:t>
      </w:r>
      <w:r w:rsidRPr="005B237A">
        <w:rPr>
          <w:rFonts w:ascii="Times New Roman" w:eastAsia="Calibri" w:hAnsi="Times New Roman" w:cs="Times New Roman"/>
        </w:rPr>
        <w:t>.</w:t>
      </w:r>
      <w:r w:rsidR="00200290" w:rsidRPr="00200290">
        <w:t xml:space="preserve"> </w:t>
      </w:r>
    </w:p>
    <w:p w:rsidR="00DF6A64" w:rsidRDefault="001E635B" w:rsidP="002538E4">
      <w:pPr>
        <w:spacing w:after="200" w:line="276" w:lineRule="auto"/>
        <w:jc w:val="both"/>
        <w:rPr>
          <w:rFonts w:ascii="Times New Roman" w:eastAsia="Calibri" w:hAnsi="Times New Roman" w:cs="Times New Roman"/>
        </w:rPr>
      </w:pPr>
      <w:r>
        <w:rPr>
          <w:rFonts w:ascii="Times New Roman" w:eastAsia="Calibri" w:hAnsi="Times New Roman" w:cs="Times New Roman"/>
        </w:rPr>
        <w:t>One</w:t>
      </w:r>
      <w:r w:rsidR="00200290" w:rsidRPr="00200290">
        <w:rPr>
          <w:rFonts w:ascii="Times New Roman" w:eastAsia="Calibri" w:hAnsi="Times New Roman" w:cs="Times New Roman"/>
        </w:rPr>
        <w:t xml:space="preserve"> example is s1041G of the </w:t>
      </w:r>
      <w:r w:rsidR="00200290" w:rsidRPr="00551959">
        <w:rPr>
          <w:rFonts w:ascii="Times New Roman" w:eastAsia="Calibri" w:hAnsi="Times New Roman" w:cs="Times New Roman"/>
          <w:i/>
        </w:rPr>
        <w:t>Corporations Act 2001</w:t>
      </w:r>
      <w:r w:rsidR="00200290" w:rsidRPr="00200290">
        <w:rPr>
          <w:rFonts w:ascii="Times New Roman" w:eastAsia="Calibri" w:hAnsi="Times New Roman" w:cs="Times New Roman"/>
        </w:rPr>
        <w:t xml:space="preserve"> (Cth) (‘Corporations Act’)</w:t>
      </w:r>
      <w:r>
        <w:rPr>
          <w:rFonts w:ascii="Times New Roman" w:eastAsia="Calibri" w:hAnsi="Times New Roman" w:cs="Times New Roman"/>
        </w:rPr>
        <w:t>,</w:t>
      </w:r>
      <w:r w:rsidR="00200290" w:rsidRPr="00200290">
        <w:rPr>
          <w:rFonts w:ascii="Times New Roman" w:eastAsia="Calibri" w:hAnsi="Times New Roman" w:cs="Times New Roman"/>
        </w:rPr>
        <w:t xml:space="preserve"> which prohibits conduct that is dishonest and imposes criminal and civil sanctions for contravention. </w:t>
      </w:r>
      <w:r w:rsidR="001242D6">
        <w:rPr>
          <w:rFonts w:ascii="Times New Roman" w:eastAsia="Calibri" w:hAnsi="Times New Roman" w:cs="Times New Roman"/>
        </w:rPr>
        <w:t xml:space="preserve">As we will see, recent amendments to the definition of dishonesty, coupled with advances in understanding how to prove corporate mental states, may help to make this prohibition a more central component of ASIC’s enforcement strategy. Recently, ASIC has </w:t>
      </w:r>
      <w:r w:rsidR="006D6F1D">
        <w:rPr>
          <w:rFonts w:ascii="Times New Roman" w:eastAsia="Calibri" w:hAnsi="Times New Roman" w:cs="Times New Roman"/>
        </w:rPr>
        <w:t xml:space="preserve">also </w:t>
      </w:r>
      <w:r w:rsidR="001242D6">
        <w:rPr>
          <w:rFonts w:ascii="Times New Roman" w:eastAsia="Calibri" w:hAnsi="Times New Roman" w:cs="Times New Roman"/>
        </w:rPr>
        <w:t>made repeated and successful use of s</w:t>
      </w:r>
      <w:r w:rsidR="00200290">
        <w:rPr>
          <w:rFonts w:ascii="Times New Roman" w:eastAsia="Calibri" w:hAnsi="Times New Roman" w:cs="Times New Roman"/>
        </w:rPr>
        <w:t xml:space="preserve"> </w:t>
      </w:r>
      <w:r w:rsidR="00200290" w:rsidRPr="005D34BC">
        <w:rPr>
          <w:rFonts w:ascii="Times New Roman" w:eastAsia="Calibri" w:hAnsi="Times New Roman" w:cs="Times New Roman"/>
        </w:rPr>
        <w:t xml:space="preserve">912A of the </w:t>
      </w:r>
      <w:r w:rsidR="00200290" w:rsidRPr="00103341">
        <w:rPr>
          <w:rFonts w:ascii="Times New Roman" w:eastAsia="Calibri" w:hAnsi="Times New Roman" w:cs="Times New Roman"/>
          <w:i/>
          <w:iCs/>
        </w:rPr>
        <w:t>Corporations Act</w:t>
      </w:r>
      <w:r w:rsidR="00200290" w:rsidRPr="005D34BC">
        <w:rPr>
          <w:rFonts w:ascii="Times New Roman" w:eastAsia="Calibri" w:hAnsi="Times New Roman" w:cs="Times New Roman"/>
        </w:rPr>
        <w:t>, which requires</w:t>
      </w:r>
      <w:r w:rsidR="00200290" w:rsidRPr="005D34BC">
        <w:rPr>
          <w:rFonts w:ascii="Times New Roman" w:hAnsi="Times New Roman" w:cs="Times New Roman"/>
        </w:rPr>
        <w:t xml:space="preserve"> those holding financial services licen</w:t>
      </w:r>
      <w:r w:rsidR="00200290">
        <w:rPr>
          <w:rFonts w:ascii="Times New Roman" w:hAnsi="Times New Roman" w:cs="Times New Roman"/>
        </w:rPr>
        <w:t>c</w:t>
      </w:r>
      <w:r w:rsidR="00200290" w:rsidRPr="005D34BC">
        <w:rPr>
          <w:rFonts w:ascii="Times New Roman" w:hAnsi="Times New Roman" w:cs="Times New Roman"/>
        </w:rPr>
        <w:t>es ‘</w:t>
      </w:r>
      <w:r w:rsidR="00200290" w:rsidRPr="005D34BC">
        <w:rPr>
          <w:rFonts w:ascii="Times New Roman" w:eastAsia="Calibri" w:hAnsi="Times New Roman" w:cs="Times New Roman"/>
        </w:rPr>
        <w:t>to do all things necessary to ensure that the financial services covered by the licence are provided efficiently, honestly and fairly’</w:t>
      </w:r>
      <w:r w:rsidR="00200290">
        <w:rPr>
          <w:rFonts w:ascii="Times New Roman" w:eastAsia="Calibri" w:hAnsi="Times New Roman" w:cs="Times New Roman"/>
        </w:rPr>
        <w:t>.</w:t>
      </w:r>
      <w:r w:rsidR="001242D6">
        <w:rPr>
          <w:rFonts w:ascii="Times New Roman" w:eastAsia="Calibri" w:hAnsi="Times New Roman" w:cs="Times New Roman"/>
        </w:rPr>
        <w:t xml:space="preserve"> </w:t>
      </w:r>
      <w:r>
        <w:rPr>
          <w:rFonts w:ascii="Times New Roman" w:eastAsia="Calibri" w:hAnsi="Times New Roman" w:cs="Times New Roman"/>
        </w:rPr>
        <w:t>Finally, the</w:t>
      </w:r>
      <w:r w:rsidR="001242D6">
        <w:rPr>
          <w:rFonts w:ascii="Times New Roman" w:eastAsia="Calibri" w:hAnsi="Times New Roman" w:cs="Times New Roman"/>
        </w:rPr>
        <w:t xml:space="preserve"> statutory prohibitions on unconscionable conduct sit alongside the specialised prohibitions on misleading conduct that attract civil penalties, as important safety-net provisions that capture a wide range of harmful behaviours. As we will see, ASIC has been increasingly successful in using the statutory prohibition in respect of unconscionable and predatory business models.</w:t>
      </w:r>
    </w:p>
    <w:p w:rsidR="001242D6" w:rsidRPr="005B237A" w:rsidRDefault="001242D6" w:rsidP="002538E4">
      <w:pPr>
        <w:spacing w:after="200" w:line="276" w:lineRule="auto"/>
        <w:jc w:val="both"/>
        <w:rPr>
          <w:rFonts w:ascii="Times New Roman" w:eastAsia="Calibri" w:hAnsi="Times New Roman" w:cs="Times New Roman"/>
        </w:rPr>
      </w:pPr>
      <w:r>
        <w:rPr>
          <w:rFonts w:ascii="Times New Roman" w:eastAsia="Calibri" w:hAnsi="Times New Roman" w:cs="Times New Roman"/>
        </w:rPr>
        <w:t>In all cases, these prohibitions require proof of a high level of culpability on the part of the corporate defendant</w:t>
      </w:r>
      <w:r w:rsidR="008804DB">
        <w:rPr>
          <w:rFonts w:ascii="Times New Roman" w:eastAsia="Calibri" w:hAnsi="Times New Roman" w:cs="Times New Roman"/>
        </w:rPr>
        <w:t>, the particulars of which will be outlined for each category of case below</w:t>
      </w:r>
      <w:r>
        <w:rPr>
          <w:rFonts w:ascii="Times New Roman" w:eastAsia="Calibri" w:hAnsi="Times New Roman" w:cs="Times New Roman"/>
        </w:rPr>
        <w:t xml:space="preserve">. An important part of the </w:t>
      </w:r>
      <w:r w:rsidR="008804DB">
        <w:rPr>
          <w:rFonts w:ascii="Times New Roman" w:eastAsia="Calibri" w:hAnsi="Times New Roman" w:cs="Times New Roman"/>
        </w:rPr>
        <w:t xml:space="preserve">story of evolution of these traditional doctrines towards vital statutory regulatory strategies is in how courts and regulators have approached this question of the corporate mindset. Both the Financial Services Royal Commission and the Australian Law Reform Commission’s inquiry into Corporate Criminal Responsibility underscored the deterrent and expressive importance of calling out dishonest and </w:t>
      </w:r>
      <w:r w:rsidR="006D6F1D">
        <w:rPr>
          <w:rFonts w:ascii="Times New Roman" w:eastAsia="Calibri" w:hAnsi="Times New Roman" w:cs="Times New Roman"/>
        </w:rPr>
        <w:t>unconscionable</w:t>
      </w:r>
      <w:r w:rsidR="008804DB">
        <w:rPr>
          <w:rFonts w:ascii="Times New Roman" w:eastAsia="Calibri" w:hAnsi="Times New Roman" w:cs="Times New Roman"/>
        </w:rPr>
        <w:t xml:space="preserve"> behaviour where it arises. Proving the requisite culpable corporate mental states </w:t>
      </w:r>
      <w:r w:rsidR="006D6F1D">
        <w:rPr>
          <w:rFonts w:ascii="Times New Roman" w:eastAsia="Calibri" w:hAnsi="Times New Roman" w:cs="Times New Roman"/>
        </w:rPr>
        <w:t xml:space="preserve">for statutory prohibitions of such misconduct </w:t>
      </w:r>
      <w:r w:rsidR="008804DB">
        <w:rPr>
          <w:rFonts w:ascii="Times New Roman" w:eastAsia="Calibri" w:hAnsi="Times New Roman" w:cs="Times New Roman"/>
        </w:rPr>
        <w:t xml:space="preserve">remains one of ASIC’s most pressing regulatory challenges. </w:t>
      </w:r>
    </w:p>
    <w:p w:rsidR="00AA3800" w:rsidRDefault="00AA3800">
      <w:pPr>
        <w:rPr>
          <w:rFonts w:ascii="Times New Roman" w:eastAsia="Calibri" w:hAnsi="Times New Roman" w:cs="Times New Roman"/>
          <w:b/>
          <w:sz w:val="24"/>
          <w:szCs w:val="24"/>
        </w:rPr>
      </w:pPr>
      <w:r>
        <w:rPr>
          <w:rFonts w:ascii="Times New Roman" w:eastAsia="Calibri" w:hAnsi="Times New Roman" w:cs="Times New Roman"/>
          <w:b/>
          <w:sz w:val="24"/>
          <w:szCs w:val="24"/>
        </w:rPr>
        <w:br w:type="page"/>
      </w:r>
    </w:p>
    <w:p w:rsidR="00DF6A64" w:rsidRPr="005B237A" w:rsidRDefault="00DF6A64" w:rsidP="002538E4">
      <w:pPr>
        <w:pStyle w:val="ListParagraph"/>
        <w:numPr>
          <w:ilvl w:val="0"/>
          <w:numId w:val="3"/>
        </w:numPr>
        <w:spacing w:after="200" w:line="276" w:lineRule="auto"/>
        <w:jc w:val="both"/>
        <w:rPr>
          <w:rFonts w:ascii="Times New Roman" w:eastAsia="Calibri" w:hAnsi="Times New Roman" w:cs="Times New Roman"/>
          <w:b/>
          <w:sz w:val="24"/>
          <w:szCs w:val="24"/>
        </w:rPr>
      </w:pPr>
      <w:r w:rsidRPr="005B237A">
        <w:rPr>
          <w:rFonts w:ascii="Times New Roman" w:eastAsia="Calibri" w:hAnsi="Times New Roman" w:cs="Times New Roman"/>
          <w:b/>
          <w:sz w:val="24"/>
          <w:szCs w:val="24"/>
        </w:rPr>
        <w:t xml:space="preserve">Unconscionable </w:t>
      </w:r>
      <w:r w:rsidR="001D4191" w:rsidRPr="005B237A">
        <w:rPr>
          <w:rFonts w:ascii="Times New Roman" w:eastAsia="Calibri" w:hAnsi="Times New Roman" w:cs="Times New Roman"/>
          <w:b/>
          <w:sz w:val="24"/>
          <w:szCs w:val="24"/>
        </w:rPr>
        <w:t>‘</w:t>
      </w:r>
      <w:r w:rsidRPr="005B237A">
        <w:rPr>
          <w:rFonts w:ascii="Times New Roman" w:eastAsia="Calibri" w:hAnsi="Times New Roman" w:cs="Times New Roman"/>
          <w:b/>
          <w:sz w:val="24"/>
          <w:szCs w:val="24"/>
        </w:rPr>
        <w:t xml:space="preserve">Systems </w:t>
      </w:r>
      <w:r w:rsidRPr="005B237A">
        <w:rPr>
          <w:rFonts w:ascii="Times New Roman" w:eastAsia="Calibri" w:hAnsi="Times New Roman" w:cs="Times New Roman"/>
          <w:b/>
          <w:bCs/>
          <w:sz w:val="24"/>
          <w:szCs w:val="24"/>
        </w:rPr>
        <w:t>of Conduct or Patterns of Behaviour</w:t>
      </w:r>
      <w:r w:rsidR="001D4191" w:rsidRPr="005B237A">
        <w:rPr>
          <w:rFonts w:ascii="Times New Roman" w:eastAsia="Calibri" w:hAnsi="Times New Roman" w:cs="Times New Roman"/>
          <w:b/>
          <w:bCs/>
          <w:sz w:val="24"/>
          <w:szCs w:val="24"/>
        </w:rPr>
        <w:t>’</w:t>
      </w:r>
    </w:p>
    <w:p w:rsidR="00F0429B" w:rsidRPr="00AE527B" w:rsidRDefault="00F0429B" w:rsidP="00F0429B">
      <w:pPr>
        <w:spacing w:before="4" w:after="4" w:line="276" w:lineRule="auto"/>
        <w:jc w:val="both"/>
        <w:rPr>
          <w:rFonts w:ascii="Times New Roman" w:hAnsi="Times New Roman" w:cs="Times New Roman"/>
        </w:rPr>
      </w:pPr>
      <w:r w:rsidRPr="00AE527B">
        <w:rPr>
          <w:rFonts w:ascii="Times New Roman" w:hAnsi="Times New Roman" w:cs="Times New Roman"/>
        </w:rPr>
        <w:t>There are two forms of prohibition on unconscionable conduct under statute. Section 12CA ASIC Act (and parallel provisions), prohibit</w:t>
      </w:r>
      <w:r w:rsidR="006D6F1D" w:rsidRPr="00AE527B">
        <w:rPr>
          <w:rFonts w:ascii="Times New Roman" w:hAnsi="Times New Roman" w:cs="Times New Roman"/>
        </w:rPr>
        <w:t>s</w:t>
      </w:r>
      <w:r w:rsidRPr="00AE527B">
        <w:rPr>
          <w:rFonts w:ascii="Times New Roman" w:hAnsi="Times New Roman" w:cs="Times New Roman"/>
        </w:rPr>
        <w:t xml:space="preserve"> unconscionable conduct ‘within the meaning of the unwritten law’. </w:t>
      </w:r>
      <w:r w:rsidR="006D6F1D" w:rsidRPr="00AE527B">
        <w:rPr>
          <w:rFonts w:ascii="Times New Roman" w:hAnsi="Times New Roman" w:cs="Times New Roman"/>
        </w:rPr>
        <w:t>Such prohibitions</w:t>
      </w:r>
      <w:r w:rsidRPr="00AE527B">
        <w:rPr>
          <w:rFonts w:ascii="Times New Roman" w:hAnsi="Times New Roman" w:cs="Times New Roman"/>
        </w:rPr>
        <w:t xml:space="preserve"> </w:t>
      </w:r>
      <w:r w:rsidR="006D6F1D" w:rsidRPr="00AE527B">
        <w:rPr>
          <w:rFonts w:ascii="Times New Roman" w:hAnsi="Times New Roman" w:cs="Times New Roman"/>
        </w:rPr>
        <w:t xml:space="preserve">reflect the equitable doctrine, which demands </w:t>
      </w:r>
      <w:r w:rsidRPr="00AE527B">
        <w:rPr>
          <w:rFonts w:ascii="Times New Roman" w:eastAsia="Calibri" w:hAnsi="Times New Roman" w:cs="Times New Roman"/>
        </w:rPr>
        <w:t xml:space="preserve">proof of exploitation of special disadvantage, but </w:t>
      </w:r>
      <w:r w:rsidR="006D6F1D" w:rsidRPr="00AE527B">
        <w:rPr>
          <w:rFonts w:ascii="Times New Roman" w:eastAsia="Calibri" w:hAnsi="Times New Roman" w:cs="Times New Roman"/>
        </w:rPr>
        <w:t>further</w:t>
      </w:r>
      <w:r w:rsidRPr="00AE527B">
        <w:rPr>
          <w:rFonts w:ascii="Times New Roman" w:hAnsi="Times New Roman" w:cs="Times New Roman"/>
        </w:rPr>
        <w:t xml:space="preserve"> enable additional statutory consequences, such as regulator enforcement and private rights of redress for loss or damage suffered because of the misconduct. </w:t>
      </w:r>
    </w:p>
    <w:p w:rsidR="00F0429B" w:rsidRPr="00AE527B" w:rsidRDefault="00F0429B" w:rsidP="00F0429B">
      <w:pPr>
        <w:spacing w:before="4" w:after="4" w:line="276" w:lineRule="auto"/>
        <w:jc w:val="both"/>
        <w:rPr>
          <w:rFonts w:ascii="Times New Roman" w:hAnsi="Times New Roman" w:cs="Times New Roman"/>
        </w:rPr>
      </w:pPr>
    </w:p>
    <w:p w:rsidR="00F0429B" w:rsidRPr="00AE527B" w:rsidRDefault="00F0429B" w:rsidP="00F0429B">
      <w:pPr>
        <w:spacing w:before="4" w:after="4" w:line="276" w:lineRule="auto"/>
        <w:jc w:val="both"/>
        <w:rPr>
          <w:rFonts w:ascii="Times New Roman" w:hAnsi="Times New Roman" w:cs="Times New Roman"/>
        </w:rPr>
      </w:pPr>
      <w:r w:rsidRPr="00AE527B">
        <w:rPr>
          <w:rFonts w:ascii="Times New Roman" w:hAnsi="Times New Roman" w:cs="Times New Roman"/>
        </w:rPr>
        <w:t xml:space="preserve">By contrast, section 12CB(1) is expressly stated not to be limited by reference to the unwritten law. </w:t>
      </w:r>
      <w:r w:rsidRPr="00AE527B">
        <w:rPr>
          <w:rFonts w:ascii="Times New Roman" w:hAnsi="Times New Roman" w:cs="Times New Roman"/>
        </w:rPr>
        <w:fldChar w:fldCharType="begin"/>
      </w:r>
      <w:r w:rsidRPr="00AE527B">
        <w:rPr>
          <w:rFonts w:ascii="Times New Roman" w:hAnsi="Times New Roman" w:cs="Times New Roman"/>
        </w:rPr>
        <w:instrText xml:space="preserve"> LegisRef: Section 21 LegisTitle: Australian Securities and Investments Commission Act 2001 (Cth) LegisJurisdiction:  </w:instrText>
      </w:r>
      <w:r w:rsidRPr="00AE527B">
        <w:rPr>
          <w:rFonts w:ascii="Times New Roman" w:hAnsi="Times New Roman" w:cs="Times New Roman"/>
        </w:rPr>
        <w:fldChar w:fldCharType="end"/>
      </w:r>
      <w:r w:rsidRPr="00AE527B">
        <w:rPr>
          <w:rFonts w:ascii="Times New Roman" w:hAnsi="Times New Roman" w:cs="Times New Roman"/>
        </w:rPr>
        <w:t>It provides:</w:t>
      </w:r>
    </w:p>
    <w:p w:rsidR="00F0429B" w:rsidRPr="00343D2D" w:rsidRDefault="00F0429B" w:rsidP="00F0429B">
      <w:pPr>
        <w:spacing w:before="4" w:after="4" w:line="276" w:lineRule="auto"/>
        <w:jc w:val="both"/>
        <w:rPr>
          <w:rFonts w:ascii="Times New Roman" w:hAnsi="Times New Roman" w:cs="Times New Roman"/>
          <w:sz w:val="24"/>
          <w:szCs w:val="20"/>
        </w:rPr>
      </w:pPr>
    </w:p>
    <w:p w:rsidR="00AE527B" w:rsidRPr="00AE527B" w:rsidRDefault="00AE527B" w:rsidP="00AE527B">
      <w:pPr>
        <w:spacing w:before="4" w:after="4" w:line="276" w:lineRule="auto"/>
        <w:ind w:firstLine="720"/>
        <w:jc w:val="both"/>
        <w:rPr>
          <w:rFonts w:ascii="Times New Roman" w:hAnsi="Times New Roman" w:cs="Times New Roman"/>
          <w:sz w:val="20"/>
          <w:szCs w:val="20"/>
        </w:rPr>
      </w:pPr>
      <w:r w:rsidRPr="00AE527B">
        <w:rPr>
          <w:rFonts w:ascii="Times New Roman" w:hAnsi="Times New Roman" w:cs="Times New Roman"/>
          <w:sz w:val="20"/>
          <w:szCs w:val="20"/>
        </w:rPr>
        <w:t>(1)  A person must not, in trade or commerce, in connection with:</w:t>
      </w:r>
    </w:p>
    <w:p w:rsidR="00AE527B" w:rsidRPr="00AE527B" w:rsidRDefault="00AE527B" w:rsidP="00AE527B">
      <w:pPr>
        <w:spacing w:before="4" w:after="4" w:line="276" w:lineRule="auto"/>
        <w:jc w:val="both"/>
        <w:rPr>
          <w:rFonts w:ascii="Times New Roman" w:hAnsi="Times New Roman" w:cs="Times New Roman"/>
          <w:sz w:val="20"/>
          <w:szCs w:val="20"/>
        </w:rPr>
      </w:pPr>
      <w:r w:rsidRPr="00AE527B">
        <w:rPr>
          <w:rFonts w:ascii="Times New Roman" w:hAnsi="Times New Roman" w:cs="Times New Roman"/>
          <w:sz w:val="20"/>
          <w:szCs w:val="20"/>
        </w:rPr>
        <w:t xml:space="preserve">                     (a)  the supply or possible supply of financial services to a person; or</w:t>
      </w:r>
    </w:p>
    <w:p w:rsidR="00AE527B" w:rsidRPr="00AE527B" w:rsidRDefault="00AE527B" w:rsidP="00AE527B">
      <w:pPr>
        <w:spacing w:before="4" w:after="4" w:line="276" w:lineRule="auto"/>
        <w:jc w:val="both"/>
        <w:rPr>
          <w:rFonts w:ascii="Times New Roman" w:hAnsi="Times New Roman" w:cs="Times New Roman"/>
          <w:sz w:val="20"/>
          <w:szCs w:val="20"/>
        </w:rPr>
      </w:pPr>
      <w:r w:rsidRPr="00AE527B">
        <w:rPr>
          <w:rFonts w:ascii="Times New Roman" w:hAnsi="Times New Roman" w:cs="Times New Roman"/>
          <w:sz w:val="20"/>
          <w:szCs w:val="20"/>
        </w:rPr>
        <w:t xml:space="preserve">                     (b)  the acquisition or possible acquisition of financial services from a person;</w:t>
      </w:r>
    </w:p>
    <w:p w:rsidR="00F0429B" w:rsidRPr="00AE527B" w:rsidRDefault="00AE527B" w:rsidP="00AE527B">
      <w:pPr>
        <w:spacing w:before="4" w:after="4" w:line="276" w:lineRule="auto"/>
        <w:ind w:firstLine="720"/>
        <w:jc w:val="both"/>
        <w:rPr>
          <w:rFonts w:ascii="Times New Roman" w:hAnsi="Times New Roman" w:cs="Times New Roman"/>
          <w:sz w:val="20"/>
          <w:szCs w:val="20"/>
        </w:rPr>
      </w:pPr>
      <w:r w:rsidRPr="00AE527B">
        <w:rPr>
          <w:rFonts w:ascii="Times New Roman" w:hAnsi="Times New Roman" w:cs="Times New Roman"/>
          <w:sz w:val="20"/>
          <w:szCs w:val="20"/>
        </w:rPr>
        <w:t>engage in conduct that is, in all the circumstances, unconscionable.</w:t>
      </w:r>
    </w:p>
    <w:p w:rsidR="00AE527B" w:rsidRPr="00343D2D" w:rsidRDefault="00AE527B" w:rsidP="00AE527B">
      <w:pPr>
        <w:spacing w:before="4" w:after="4" w:line="276" w:lineRule="auto"/>
        <w:jc w:val="both"/>
        <w:rPr>
          <w:rFonts w:ascii="Times New Roman" w:hAnsi="Times New Roman" w:cs="Times New Roman"/>
          <w:sz w:val="24"/>
          <w:szCs w:val="20"/>
        </w:rPr>
      </w:pPr>
    </w:p>
    <w:p w:rsidR="00F0429B" w:rsidRPr="00AE527B" w:rsidRDefault="00F0429B" w:rsidP="00551959">
      <w:pPr>
        <w:spacing w:after="120" w:line="276" w:lineRule="auto"/>
        <w:jc w:val="both"/>
        <w:rPr>
          <w:rFonts w:ascii="Times New Roman" w:hAnsi="Times New Roman" w:cs="Times New Roman"/>
        </w:rPr>
      </w:pPr>
      <w:r w:rsidRPr="00AE527B">
        <w:rPr>
          <w:rFonts w:ascii="Times New Roman" w:hAnsi="Times New Roman" w:cs="Times New Roman"/>
        </w:rPr>
        <w:fldChar w:fldCharType="begin"/>
      </w:r>
      <w:r w:rsidRPr="00AE527B">
        <w:rPr>
          <w:rFonts w:ascii="Times New Roman" w:hAnsi="Times New Roman" w:cs="Times New Roman"/>
        </w:rPr>
        <w:instrText xml:space="preserve"> LegisRef: Section 21(4) LegisTitle: Australian Securities and Investments Commission Act 2001 (Cth) LegisJurisdiction:  </w:instrText>
      </w:r>
      <w:r w:rsidRPr="00AE527B">
        <w:rPr>
          <w:rFonts w:ascii="Times New Roman" w:hAnsi="Times New Roman" w:cs="Times New Roman"/>
        </w:rPr>
        <w:fldChar w:fldCharType="end"/>
      </w:r>
      <w:r w:rsidRPr="00AE527B">
        <w:rPr>
          <w:rFonts w:ascii="Times New Roman" w:hAnsi="Times New Roman" w:cs="Times New Roman"/>
        </w:rPr>
        <w:t xml:space="preserve">Section 12CB(4) </w:t>
      </w:r>
      <w:r w:rsidRPr="00AE527B">
        <w:rPr>
          <w:rFonts w:ascii="Times New Roman" w:hAnsi="Times New Roman" w:cs="Times New Roman"/>
          <w:lang w:val="en-GB"/>
        </w:rPr>
        <w:t>contains a set of interpretative principles. These include that the statutory prohibition</w:t>
      </w:r>
      <w:r w:rsidRPr="00AE527B">
        <w:rPr>
          <w:rFonts w:ascii="Times New Roman" w:hAnsi="Times New Roman" w:cs="Times New Roman"/>
        </w:rPr>
        <w:t xml:space="preserve"> </w:t>
      </w:r>
      <w:r w:rsidRPr="00AE527B">
        <w:rPr>
          <w:rFonts w:ascii="Times New Roman" w:hAnsi="Times New Roman" w:cs="Times New Roman"/>
          <w:b/>
        </w:rPr>
        <w:t>‘is capable of applying to a system of conduct or pattern of behaviour, whether or not a particular individual is identified as having been disadvantaged by the conduct or behaviour’</w:t>
      </w:r>
      <w:r w:rsidRPr="00AE527B">
        <w:rPr>
          <w:rFonts w:ascii="Times New Roman" w:hAnsi="Times New Roman" w:cs="Times New Roman"/>
        </w:rPr>
        <w:t xml:space="preserve"> (reflecting the earlier decision in </w:t>
      </w:r>
      <w:r w:rsidRPr="00AE527B">
        <w:rPr>
          <w:rFonts w:ascii="Times New Roman" w:eastAsia="Calibri" w:hAnsi="Times New Roman" w:cs="Times New Roman"/>
          <w:i/>
        </w:rPr>
        <w:t>National Exchange</w:t>
      </w:r>
      <w:r w:rsidRPr="00AE527B">
        <w:rPr>
          <w:rFonts w:ascii="Times New Roman" w:eastAsia="Calibri" w:hAnsi="Times New Roman" w:cs="Times New Roman"/>
        </w:rPr>
        <w:t>).</w:t>
      </w:r>
      <w:r w:rsidRPr="00AE527B">
        <w:rPr>
          <w:rFonts w:ascii="Times New Roman" w:hAnsi="Times New Roman" w:cs="Times New Roman"/>
          <w:lang w:val="en-GB"/>
        </w:rPr>
        <w:t xml:space="preserve"> </w:t>
      </w:r>
      <w:r w:rsidR="00AE527B" w:rsidRPr="00AE527B">
        <w:rPr>
          <w:rFonts w:ascii="Times New Roman" w:hAnsi="Times New Roman" w:cs="Times New Roman"/>
          <w:lang w:val="en-GB"/>
        </w:rPr>
        <w:t>Section 12</w:t>
      </w:r>
      <w:r w:rsidRPr="00AE527B">
        <w:rPr>
          <w:rFonts w:ascii="Times New Roman" w:hAnsi="Times New Roman" w:cs="Times New Roman"/>
          <w:lang w:val="en-GB"/>
        </w:rPr>
        <w:t>CC</w:t>
      </w:r>
      <w:r w:rsidR="00AE527B" w:rsidRPr="00AE527B">
        <w:rPr>
          <w:rFonts w:ascii="Times New Roman" w:hAnsi="Times New Roman" w:cs="Times New Roman"/>
          <w:lang w:val="en-GB"/>
        </w:rPr>
        <w:t xml:space="preserve"> </w:t>
      </w:r>
      <w:r w:rsidR="009A5EF1" w:rsidRPr="00AE527B">
        <w:rPr>
          <w:rFonts w:ascii="Times New Roman" w:hAnsi="Times New Roman" w:cs="Times New Roman"/>
        </w:rPr>
        <w:t>c</w:t>
      </w:r>
      <w:r w:rsidRPr="00AE527B">
        <w:rPr>
          <w:rFonts w:ascii="Times New Roman" w:hAnsi="Times New Roman" w:cs="Times New Roman"/>
        </w:rPr>
        <w:t xml:space="preserve">ontains a list of factors to which the court may have regard in deciding if conduct is unconscionable. </w:t>
      </w:r>
      <w:r w:rsidR="009A5EF1" w:rsidRPr="00AE527B">
        <w:rPr>
          <w:rFonts w:ascii="Times New Roman" w:hAnsi="Times New Roman" w:cs="Times New Roman"/>
        </w:rPr>
        <w:t xml:space="preserve">These include whether the supplier acted ‘in good faith’. </w:t>
      </w:r>
      <w:r w:rsidRPr="00AE527B">
        <w:rPr>
          <w:rFonts w:ascii="Times New Roman" w:hAnsi="Times New Roman" w:cs="Times New Roman"/>
        </w:rPr>
        <w:t xml:space="preserve">In assessing the statutory standard, courts </w:t>
      </w:r>
      <w:r w:rsidR="006D6F1D" w:rsidRPr="00AE527B">
        <w:rPr>
          <w:rFonts w:ascii="Times New Roman" w:hAnsi="Times New Roman" w:cs="Times New Roman"/>
        </w:rPr>
        <w:t xml:space="preserve">commonly </w:t>
      </w:r>
      <w:r w:rsidRPr="00AE527B">
        <w:rPr>
          <w:rFonts w:ascii="Times New Roman" w:hAnsi="Times New Roman" w:cs="Times New Roman"/>
        </w:rPr>
        <w:t xml:space="preserve">consider a range of </w:t>
      </w:r>
      <w:r w:rsidR="006D6F1D" w:rsidRPr="00AE527B">
        <w:rPr>
          <w:rFonts w:ascii="Times New Roman" w:hAnsi="Times New Roman" w:cs="Times New Roman"/>
        </w:rPr>
        <w:t>further factors that relate to the defendant’s mindset</w:t>
      </w:r>
      <w:r w:rsidRPr="00AE527B">
        <w:rPr>
          <w:rFonts w:ascii="Times New Roman" w:hAnsi="Times New Roman" w:cs="Times New Roman"/>
        </w:rPr>
        <w:t>, including whether the impugned conduct was deliberate, dishonest, predatory, or undertaken with sufficient knowledge of relevant disadvantage or vulnerability.</w:t>
      </w:r>
    </w:p>
    <w:p w:rsidR="003E5C1C" w:rsidRPr="00AE527B" w:rsidRDefault="001D4191" w:rsidP="002538E4">
      <w:pPr>
        <w:spacing w:after="120" w:line="276" w:lineRule="auto"/>
        <w:jc w:val="both"/>
        <w:rPr>
          <w:rFonts w:ascii="Times New Roman" w:eastAsia="Calibri" w:hAnsi="Times New Roman" w:cs="Times New Roman"/>
        </w:rPr>
      </w:pPr>
      <w:r w:rsidRPr="00AE527B">
        <w:rPr>
          <w:rFonts w:ascii="Times New Roman" w:eastAsia="Calibri" w:hAnsi="Times New Roman" w:cs="Times New Roman"/>
        </w:rPr>
        <w:t xml:space="preserve">In </w:t>
      </w:r>
      <w:r w:rsidR="003E5C1C" w:rsidRPr="00AE527B">
        <w:rPr>
          <w:rFonts w:ascii="Times New Roman" w:eastAsia="Calibri" w:hAnsi="Times New Roman" w:cs="Times New Roman"/>
        </w:rPr>
        <w:t>the discussion that follows</w:t>
      </w:r>
      <w:r w:rsidRPr="00AE527B">
        <w:rPr>
          <w:rFonts w:ascii="Times New Roman" w:eastAsia="Calibri" w:hAnsi="Times New Roman" w:cs="Times New Roman"/>
        </w:rPr>
        <w:t xml:space="preserve">, I do not focus on the question of whether the statutory prohibition on unconscionable conduct requires </w:t>
      </w:r>
      <w:r w:rsidR="002538E4" w:rsidRPr="00AE527B">
        <w:rPr>
          <w:rFonts w:ascii="Times New Roman" w:eastAsia="Calibri" w:hAnsi="Times New Roman" w:cs="Times New Roman"/>
        </w:rPr>
        <w:t xml:space="preserve">(like the equitable doctrine of unconscionable dealing) </w:t>
      </w:r>
      <w:r w:rsidRPr="00AE527B">
        <w:rPr>
          <w:rFonts w:ascii="Times New Roman" w:eastAsia="Calibri" w:hAnsi="Times New Roman" w:cs="Times New Roman"/>
        </w:rPr>
        <w:t xml:space="preserve">proof of exploitation of special disadvantage, the subject of </w:t>
      </w:r>
      <w:r w:rsidRPr="00AE527B">
        <w:rPr>
          <w:rFonts w:ascii="Times New Roman" w:eastAsia="Calibri" w:hAnsi="Times New Roman" w:cs="Times New Roman"/>
          <w:i/>
        </w:rPr>
        <w:t>Quantum</w:t>
      </w:r>
      <w:r w:rsidR="00EB019D" w:rsidRPr="00AE527B">
        <w:rPr>
          <w:rFonts w:ascii="Times New Roman" w:eastAsia="Calibri" w:hAnsi="Times New Roman" w:cs="Times New Roman"/>
        </w:rPr>
        <w:t xml:space="preserve"> and the final session in this conference</w:t>
      </w:r>
      <w:r w:rsidRPr="00AE527B">
        <w:rPr>
          <w:rFonts w:ascii="Times New Roman" w:eastAsia="Calibri" w:hAnsi="Times New Roman" w:cs="Times New Roman"/>
        </w:rPr>
        <w:t xml:space="preserve">. Rather, I focus on the important jurisprudence on ‘systems cases’, which developed out of </w:t>
      </w:r>
      <w:r w:rsidR="00DF6A64" w:rsidRPr="00AE527B">
        <w:rPr>
          <w:rFonts w:ascii="Times New Roman" w:eastAsia="Calibri" w:hAnsi="Times New Roman" w:cs="Times New Roman"/>
          <w:i/>
        </w:rPr>
        <w:t xml:space="preserve">National Exchange </w:t>
      </w:r>
      <w:r w:rsidR="00DF6A64" w:rsidRPr="00AE527B">
        <w:rPr>
          <w:rFonts w:ascii="Times New Roman" w:eastAsia="Calibri" w:hAnsi="Times New Roman" w:cs="Times New Roman"/>
        </w:rPr>
        <w:t xml:space="preserve">[2005] FCAFC 226. </w:t>
      </w:r>
    </w:p>
    <w:p w:rsidR="00DF6A64" w:rsidRPr="00AE527B" w:rsidRDefault="00DF6A64" w:rsidP="002538E4">
      <w:pPr>
        <w:spacing w:after="120" w:line="276" w:lineRule="auto"/>
        <w:jc w:val="both"/>
        <w:rPr>
          <w:rFonts w:ascii="Times New Roman" w:eastAsia="Calibri" w:hAnsi="Times New Roman" w:cs="Times New Roman"/>
        </w:rPr>
      </w:pPr>
      <w:r w:rsidRPr="00AE527B">
        <w:rPr>
          <w:rFonts w:ascii="Times New Roman" w:eastAsia="Calibri" w:hAnsi="Times New Roman" w:cs="Times New Roman"/>
        </w:rPr>
        <w:t xml:space="preserve">National Exchange had sent unsolicited off-market offers to members of a demutualised company, Aevum Ltd, to buy shares at a price that constituted a substantial undervalue of their true worth. Notwithstanding the fact that a correct range of values for the shares was disclosed, albeit on the second page of the offer document, 257 shareholders accepted the offer. The offer did not target or seek to exploit identified consumers who suffered from known, special disadvantage. </w:t>
      </w:r>
      <w:r w:rsidR="00727BEB" w:rsidRPr="00AE527B">
        <w:rPr>
          <w:rFonts w:ascii="Times New Roman" w:eastAsia="Calibri" w:hAnsi="Times New Roman" w:cs="Times New Roman"/>
        </w:rPr>
        <w:t>The Full Federal Court, comprising Tamberlin, Finn and Conti JJ, explained that</w:t>
      </w:r>
      <w:r w:rsidRPr="00AE527B">
        <w:rPr>
          <w:rFonts w:ascii="Times New Roman" w:eastAsia="Calibri" w:hAnsi="Times New Roman" w:cs="Times New Roman"/>
        </w:rPr>
        <w:t xml:space="preserve"> ‘National Exchange set out to </w:t>
      </w:r>
      <w:r w:rsidRPr="00AE527B">
        <w:rPr>
          <w:rFonts w:ascii="Times New Roman" w:eastAsia="Calibri" w:hAnsi="Times New Roman" w:cs="Times New Roman"/>
          <w:b/>
        </w:rPr>
        <w:t>systematically implement a strategy</w:t>
      </w:r>
      <w:r w:rsidRPr="00AE527B">
        <w:rPr>
          <w:rFonts w:ascii="Times New Roman" w:eastAsia="Calibri" w:hAnsi="Times New Roman" w:cs="Times New Roman"/>
        </w:rPr>
        <w:t xml:space="preserve"> to take advantage of the fact that amongst the official members there would be a group of inexperienced persons who would act irrationally from a purely commercial viewpoint and would accept the offer.’ This an important example of where a system was found to have an objective ‘purpose’ of exploiting anticipated disadvantage: that is, a case where the </w:t>
      </w:r>
      <w:r w:rsidRPr="00AE527B">
        <w:rPr>
          <w:rFonts w:ascii="Times New Roman" w:eastAsia="Calibri" w:hAnsi="Times New Roman" w:cs="Times New Roman"/>
          <w:b/>
        </w:rPr>
        <w:t>very design of the system was predatory</w:t>
      </w:r>
      <w:r w:rsidRPr="00AE527B">
        <w:rPr>
          <w:rFonts w:ascii="Times New Roman" w:eastAsia="Calibri" w:hAnsi="Times New Roman" w:cs="Times New Roman"/>
        </w:rPr>
        <w:t xml:space="preserve"> and systems intentional, and where knowledge of the presence of disadvantage (albeit not in individual cases) was implicit in the business model.  </w:t>
      </w:r>
    </w:p>
    <w:p w:rsidR="00DF6A64" w:rsidRPr="00AE527B" w:rsidRDefault="003E5C1C" w:rsidP="002538E4">
      <w:pPr>
        <w:spacing w:after="120" w:line="276" w:lineRule="auto"/>
        <w:jc w:val="both"/>
        <w:rPr>
          <w:rFonts w:ascii="Times New Roman" w:eastAsia="Calibri" w:hAnsi="Times New Roman" w:cs="Times New Roman"/>
          <w:vertAlign w:val="superscript"/>
        </w:rPr>
      </w:pPr>
      <w:r w:rsidRPr="00AE527B">
        <w:rPr>
          <w:rFonts w:ascii="Times New Roman" w:eastAsia="Calibri" w:hAnsi="Times New Roman" w:cs="Times New Roman"/>
        </w:rPr>
        <w:t xml:space="preserve">Parliament’s introduction of section 12CB(4) reflecting the position adopted in </w:t>
      </w:r>
      <w:r w:rsidRPr="00AE527B">
        <w:rPr>
          <w:rFonts w:ascii="Times New Roman" w:eastAsia="Calibri" w:hAnsi="Times New Roman" w:cs="Times New Roman"/>
          <w:i/>
        </w:rPr>
        <w:t>National Exchange</w:t>
      </w:r>
      <w:r w:rsidRPr="00AE527B">
        <w:rPr>
          <w:rFonts w:ascii="Times New Roman" w:eastAsia="Calibri" w:hAnsi="Times New Roman" w:cs="Times New Roman"/>
        </w:rPr>
        <w:t>. The ‘systems’ provision has now been the subject of extended consideration by courts in response to sustained enforcement activity by ASIC and, in the consumer space, the ACCC. One of the leading authorities on the operation of the provision is</w:t>
      </w:r>
      <w:r w:rsidR="0077237A" w:rsidRPr="00AE527B">
        <w:rPr>
          <w:rFonts w:ascii="Times New Roman" w:eastAsia="Calibri" w:hAnsi="Times New Roman" w:cs="Times New Roman"/>
        </w:rPr>
        <w:t xml:space="preserve"> </w:t>
      </w:r>
      <w:r w:rsidR="00A20687" w:rsidRPr="00AE527B">
        <w:rPr>
          <w:rFonts w:ascii="Times New Roman" w:eastAsia="Calibri" w:hAnsi="Times New Roman" w:cs="Times New Roman"/>
          <w:i/>
        </w:rPr>
        <w:t>ASIC v</w:t>
      </w:r>
      <w:r w:rsidR="00A20687" w:rsidRPr="00AE527B">
        <w:rPr>
          <w:rFonts w:ascii="Times New Roman" w:eastAsia="Calibri" w:hAnsi="Times New Roman" w:cs="Times New Roman"/>
        </w:rPr>
        <w:t xml:space="preserve"> </w:t>
      </w:r>
      <w:r w:rsidR="00DF6A64" w:rsidRPr="00AE527B">
        <w:rPr>
          <w:rFonts w:ascii="Times New Roman" w:eastAsia="Calibri" w:hAnsi="Times New Roman" w:cs="Times New Roman"/>
          <w:i/>
        </w:rPr>
        <w:t xml:space="preserve">AGM Markets </w:t>
      </w:r>
      <w:r w:rsidR="00DF6A64" w:rsidRPr="00AE527B">
        <w:rPr>
          <w:rFonts w:ascii="Times New Roman" w:eastAsia="Calibri" w:hAnsi="Times New Roman" w:cs="Times New Roman"/>
        </w:rPr>
        <w:t>[2020] FCA 208</w:t>
      </w:r>
      <w:r w:rsidRPr="00AE527B">
        <w:rPr>
          <w:rFonts w:ascii="Times New Roman" w:eastAsia="Calibri" w:hAnsi="Times New Roman" w:cs="Times New Roman"/>
        </w:rPr>
        <w:t>. Here,</w:t>
      </w:r>
      <w:r w:rsidR="00DF6A64" w:rsidRPr="00AE527B">
        <w:rPr>
          <w:rFonts w:ascii="Times New Roman" w:eastAsia="Calibri" w:hAnsi="Times New Roman" w:cs="Times New Roman"/>
        </w:rPr>
        <w:t xml:space="preserve"> Beach J explained that a ‘“system” connotes something </w:t>
      </w:r>
      <w:r w:rsidR="00DF6A64" w:rsidRPr="00AE527B">
        <w:rPr>
          <w:rFonts w:ascii="Times New Roman" w:eastAsia="Calibri" w:hAnsi="Times New Roman" w:cs="Times New Roman"/>
          <w:b/>
        </w:rPr>
        <w:t>designed or intended in its structure</w:t>
      </w:r>
      <w:r w:rsidR="00DF6A64" w:rsidRPr="00AE527B">
        <w:rPr>
          <w:rFonts w:ascii="Times New Roman" w:eastAsia="Calibri" w:hAnsi="Times New Roman" w:cs="Times New Roman"/>
        </w:rPr>
        <w:t xml:space="preserve">; contrastingly, a pattern may be manifested without any </w:t>
      </w:r>
      <w:r w:rsidR="00DF6A64" w:rsidRPr="00AE527B">
        <w:rPr>
          <w:rFonts w:ascii="Times New Roman" w:eastAsia="Calibri" w:hAnsi="Times New Roman" w:cs="Times New Roman"/>
          <w:b/>
        </w:rPr>
        <w:t>design or intentional input</w:t>
      </w:r>
      <w:r w:rsidR="00DF6A64" w:rsidRPr="00AE527B">
        <w:rPr>
          <w:rFonts w:ascii="Times New Roman" w:eastAsia="Calibri" w:hAnsi="Times New Roman" w:cs="Times New Roman"/>
        </w:rPr>
        <w:t>.’ A system relates to the ‘internal structure, for example, internal working, of whatever it is that has produced or reflects the conduct’. Its essence is ‘organisation and connection’ of elements within a complex whole. A pattern, by contrast, looks to ‘the external manifestation of behaviour and whether it can be characterised as a pattern…’. And a pattern is, at base, ‘a regular and intelligible form or sequence discernible in certain actions or situations’; there has to be both repetition and external discernibility’.</w:t>
      </w:r>
      <w:r w:rsidR="00DF6A64" w:rsidRPr="00AE527B">
        <w:rPr>
          <w:rFonts w:ascii="Times New Roman" w:eastAsia="Calibri" w:hAnsi="Times New Roman" w:cs="Times New Roman"/>
          <w:vertAlign w:val="superscript"/>
        </w:rPr>
        <w:t xml:space="preserve"> </w:t>
      </w:r>
    </w:p>
    <w:p w:rsidR="00DF6A64" w:rsidRPr="00AE527B" w:rsidRDefault="00DF6A64" w:rsidP="002538E4">
      <w:pPr>
        <w:spacing w:after="120" w:line="276" w:lineRule="auto"/>
        <w:jc w:val="both"/>
        <w:rPr>
          <w:rFonts w:ascii="Times New Roman" w:eastAsia="Calibri" w:hAnsi="Times New Roman" w:cs="Times New Roman"/>
        </w:rPr>
      </w:pPr>
      <w:r w:rsidRPr="00AE527B">
        <w:rPr>
          <w:rFonts w:ascii="Times New Roman" w:eastAsia="Calibri" w:hAnsi="Times New Roman" w:cs="Times New Roman"/>
        </w:rPr>
        <w:t xml:space="preserve">On this analysis, a corporation’s internal structures, methods and processes articulate systems that are </w:t>
      </w:r>
      <w:r w:rsidRPr="00AE527B">
        <w:rPr>
          <w:rFonts w:ascii="Times New Roman" w:eastAsia="Calibri" w:hAnsi="Times New Roman" w:cs="Times New Roman"/>
          <w:b/>
        </w:rPr>
        <w:t>inherently purposeful in their nature</w:t>
      </w:r>
      <w:r w:rsidRPr="00AE527B">
        <w:rPr>
          <w:rFonts w:ascii="Times New Roman" w:eastAsia="Calibri" w:hAnsi="Times New Roman" w:cs="Times New Roman"/>
        </w:rPr>
        <w:t xml:space="preserve">. By contrast, </w:t>
      </w:r>
      <w:r w:rsidRPr="00AE527B">
        <w:rPr>
          <w:rFonts w:ascii="Times New Roman" w:eastAsia="Calibri" w:hAnsi="Times New Roman" w:cs="Times New Roman"/>
          <w:b/>
        </w:rPr>
        <w:t>patterns signify externally observable repeated behaviours from which systems (and hence systems intentionality) may be inferred</w:t>
      </w:r>
      <w:r w:rsidRPr="00AE527B">
        <w:rPr>
          <w:rFonts w:ascii="Times New Roman" w:eastAsia="Calibri" w:hAnsi="Times New Roman" w:cs="Times New Roman"/>
        </w:rPr>
        <w:t>. The two are closely related, albeit distinct. As Beach J observes: ‘a “system of conduct” could produce a “pattern of behaviour”. Relatedly, evidence of a “pattern of behaviour” could enable you to infer a “system of conduct” in some cases.’</w:t>
      </w:r>
    </w:p>
    <w:p w:rsidR="00887949" w:rsidRPr="00AE527B" w:rsidRDefault="00727BEB" w:rsidP="002538E4">
      <w:pPr>
        <w:spacing w:after="120" w:line="276" w:lineRule="auto"/>
        <w:jc w:val="both"/>
        <w:rPr>
          <w:rFonts w:ascii="Times New Roman" w:eastAsia="Calibri" w:hAnsi="Times New Roman" w:cs="Times New Roman"/>
        </w:rPr>
      </w:pPr>
      <w:r w:rsidRPr="00AE527B">
        <w:rPr>
          <w:rFonts w:ascii="Times New Roman" w:eastAsia="Calibri" w:hAnsi="Times New Roman" w:cs="Times New Roman"/>
        </w:rPr>
        <w:t>Professor Jeannie Marie Paterson (MLS) and I have argued that c</w:t>
      </w:r>
      <w:r w:rsidR="00DF6A64" w:rsidRPr="00AE527B">
        <w:rPr>
          <w:rFonts w:ascii="Times New Roman" w:eastAsia="Calibri" w:hAnsi="Times New Roman" w:cs="Times New Roman"/>
        </w:rPr>
        <w:t xml:space="preserve">ourts’ analysis of unconscionable ‘systems of conduct and patterns of behaviour’ </w:t>
      </w:r>
      <w:r w:rsidR="0077237A" w:rsidRPr="00AE527B">
        <w:rPr>
          <w:rFonts w:ascii="Times New Roman" w:eastAsia="Calibri" w:hAnsi="Times New Roman" w:cs="Times New Roman"/>
        </w:rPr>
        <w:t xml:space="preserve">in these </w:t>
      </w:r>
      <w:r w:rsidR="00A20687" w:rsidRPr="00AE527B">
        <w:rPr>
          <w:rFonts w:ascii="Times New Roman" w:eastAsia="Calibri" w:hAnsi="Times New Roman" w:cs="Times New Roman"/>
        </w:rPr>
        <w:t>(</w:t>
      </w:r>
      <w:r w:rsidR="0077237A" w:rsidRPr="00AE527B">
        <w:rPr>
          <w:rFonts w:ascii="Times New Roman" w:eastAsia="Calibri" w:hAnsi="Times New Roman" w:cs="Times New Roman"/>
        </w:rPr>
        <w:t>and other</w:t>
      </w:r>
      <w:r w:rsidR="00A20687" w:rsidRPr="00AE527B">
        <w:rPr>
          <w:rFonts w:ascii="Times New Roman" w:eastAsia="Calibri" w:hAnsi="Times New Roman" w:cs="Times New Roman"/>
        </w:rPr>
        <w:t>)</w:t>
      </w:r>
      <w:r w:rsidR="0077237A" w:rsidRPr="00AE527B">
        <w:rPr>
          <w:rFonts w:ascii="Times New Roman" w:eastAsia="Calibri" w:hAnsi="Times New Roman" w:cs="Times New Roman"/>
        </w:rPr>
        <w:t xml:space="preserve"> cases </w:t>
      </w:r>
      <w:r w:rsidR="00DF6A64" w:rsidRPr="00AE527B">
        <w:rPr>
          <w:rFonts w:ascii="Times New Roman" w:eastAsia="Calibri" w:hAnsi="Times New Roman" w:cs="Times New Roman"/>
        </w:rPr>
        <w:t>suggest</w:t>
      </w:r>
      <w:r w:rsidRPr="00AE527B">
        <w:rPr>
          <w:rFonts w:ascii="Times New Roman" w:eastAsia="Calibri" w:hAnsi="Times New Roman" w:cs="Times New Roman"/>
        </w:rPr>
        <w:t xml:space="preserve"> important, and broadly-applicable, </w:t>
      </w:r>
      <w:r w:rsidR="00DF6A64" w:rsidRPr="00AE527B">
        <w:rPr>
          <w:rFonts w:ascii="Times New Roman" w:eastAsia="Calibri" w:hAnsi="Times New Roman" w:cs="Times New Roman"/>
        </w:rPr>
        <w:t xml:space="preserve">understandings of </w:t>
      </w:r>
      <w:r w:rsidRPr="00AE527B">
        <w:rPr>
          <w:rFonts w:ascii="Times New Roman" w:eastAsia="Calibri" w:hAnsi="Times New Roman" w:cs="Times New Roman"/>
        </w:rPr>
        <w:t>‘</w:t>
      </w:r>
      <w:r w:rsidR="00DF6A64" w:rsidRPr="00AE527B">
        <w:rPr>
          <w:rFonts w:ascii="Times New Roman" w:eastAsia="Calibri" w:hAnsi="Times New Roman" w:cs="Times New Roman"/>
        </w:rPr>
        <w:t>systems intentionality</w:t>
      </w:r>
      <w:r w:rsidRPr="00AE527B">
        <w:rPr>
          <w:rFonts w:ascii="Times New Roman" w:eastAsia="Calibri" w:hAnsi="Times New Roman" w:cs="Times New Roman"/>
        </w:rPr>
        <w:t>’</w:t>
      </w:r>
      <w:r w:rsidR="00DF6A64" w:rsidRPr="00AE527B">
        <w:rPr>
          <w:rFonts w:ascii="Times New Roman" w:eastAsia="Calibri" w:hAnsi="Times New Roman" w:cs="Times New Roman"/>
        </w:rPr>
        <w:t xml:space="preserve">. </w:t>
      </w:r>
      <w:r w:rsidR="00A20687" w:rsidRPr="00AE527B">
        <w:rPr>
          <w:rFonts w:ascii="Times New Roman" w:eastAsia="Calibri" w:hAnsi="Times New Roman" w:cs="Times New Roman"/>
        </w:rPr>
        <w:t xml:space="preserve">On this model, </w:t>
      </w:r>
      <w:r w:rsidR="00887949" w:rsidRPr="00AE527B">
        <w:rPr>
          <w:rFonts w:ascii="Times New Roman" w:eastAsia="Calibri" w:hAnsi="Times New Roman" w:cs="Times New Roman"/>
        </w:rPr>
        <w:t xml:space="preserve">developed by me pursuant to </w:t>
      </w:r>
      <w:r w:rsidR="00887949" w:rsidRPr="00AE527B">
        <w:rPr>
          <w:rFonts w:ascii="Times New Roman" w:eastAsia="Calibri" w:hAnsi="Times New Roman" w:cs="Times New Roman"/>
          <w:lang w:val="en-US"/>
        </w:rPr>
        <w:t>FT190100475</w:t>
      </w:r>
      <w:r w:rsidR="00A20687" w:rsidRPr="00AE527B">
        <w:rPr>
          <w:rFonts w:ascii="Times New Roman" w:eastAsia="Calibri" w:hAnsi="Times New Roman" w:cs="Times New Roman"/>
          <w:lang w:val="en-US"/>
        </w:rPr>
        <w:t>,</w:t>
      </w:r>
      <w:r w:rsidR="00887949" w:rsidRPr="00AE527B">
        <w:rPr>
          <w:rFonts w:ascii="Times New Roman" w:eastAsia="Calibri" w:hAnsi="Times New Roman" w:cs="Times New Roman"/>
          <w:lang w:val="en-US"/>
        </w:rPr>
        <w:t xml:space="preserve"> </w:t>
      </w:r>
      <w:r w:rsidR="00887949" w:rsidRPr="00AE527B">
        <w:rPr>
          <w:rFonts w:ascii="Times New Roman" w:eastAsia="Calibri" w:hAnsi="Times New Roman" w:cs="Times New Roman"/>
        </w:rPr>
        <w:t>regulators are not</w:t>
      </w:r>
      <w:r w:rsidR="002538E4" w:rsidRPr="00AE527B">
        <w:rPr>
          <w:rFonts w:ascii="Times New Roman" w:eastAsia="Calibri" w:hAnsi="Times New Roman" w:cs="Times New Roman"/>
        </w:rPr>
        <w:t xml:space="preserve"> limited to traditional attribution rules</w:t>
      </w:r>
      <w:r w:rsidR="00887949" w:rsidRPr="00AE527B">
        <w:rPr>
          <w:rFonts w:ascii="Times New Roman" w:eastAsia="Calibri" w:hAnsi="Times New Roman" w:cs="Times New Roman"/>
        </w:rPr>
        <w:t>, or statutory liability rules, to establish the defendant corporation’s mental state. Rather</w:t>
      </w:r>
      <w:r w:rsidR="002538E4" w:rsidRPr="00AE527B">
        <w:rPr>
          <w:rFonts w:ascii="Times New Roman" w:eastAsia="Calibri" w:hAnsi="Times New Roman" w:cs="Times New Roman"/>
        </w:rPr>
        <w:t>, the corporate state of mind can be understood to be manifested</w:t>
      </w:r>
      <w:r w:rsidR="002538E4" w:rsidRPr="00AE527B">
        <w:rPr>
          <w:rFonts w:ascii="Times New Roman" w:eastAsia="Calibri" w:hAnsi="Times New Roman" w:cs="Times New Roman"/>
          <w:b/>
          <w:i/>
        </w:rPr>
        <w:t xml:space="preserve"> in its systems, policies and practices. </w:t>
      </w:r>
      <w:r w:rsidR="00887949" w:rsidRPr="00AE527B">
        <w:rPr>
          <w:rFonts w:ascii="Times New Roman" w:eastAsia="Calibri" w:hAnsi="Times New Roman" w:cs="Times New Roman"/>
        </w:rPr>
        <w:t xml:space="preserve">Further, we can infer some knowledge of the system-user from what is necessary for the system to function. </w:t>
      </w:r>
    </w:p>
    <w:p w:rsidR="00DF6A64" w:rsidRPr="00AE527B" w:rsidRDefault="002538E4" w:rsidP="002538E4">
      <w:pPr>
        <w:spacing w:after="120" w:line="276" w:lineRule="auto"/>
        <w:jc w:val="both"/>
        <w:rPr>
          <w:rFonts w:ascii="Times New Roman" w:hAnsi="Times New Roman" w:cs="Times New Roman"/>
        </w:rPr>
      </w:pPr>
      <w:r w:rsidRPr="00AE527B">
        <w:rPr>
          <w:rFonts w:ascii="Times New Roman" w:eastAsia="Calibri" w:hAnsi="Times New Roman" w:cs="Times New Roman"/>
        </w:rPr>
        <w:t xml:space="preserve">Consistently, </w:t>
      </w:r>
      <w:r w:rsidR="003E5C1C" w:rsidRPr="00AE527B">
        <w:rPr>
          <w:rFonts w:ascii="Times New Roman" w:eastAsia="Calibri" w:hAnsi="Times New Roman" w:cs="Times New Roman"/>
        </w:rPr>
        <w:t xml:space="preserve">we argue, </w:t>
      </w:r>
      <w:r w:rsidRPr="00AE527B">
        <w:rPr>
          <w:rFonts w:ascii="Times New Roman" w:eastAsia="Calibri" w:hAnsi="Times New Roman" w:cs="Times New Roman"/>
        </w:rPr>
        <w:t>the unconscionable ‘systems of conduct case’ suggest:</w:t>
      </w:r>
      <w:r w:rsidRPr="00AE527B">
        <w:rPr>
          <w:rFonts w:ascii="Times New Roman" w:eastAsia="Calibri" w:hAnsi="Times New Roman" w:cs="Times New Roman"/>
          <w:b/>
        </w:rPr>
        <w:t xml:space="preserve"> </w:t>
      </w:r>
      <w:r w:rsidR="00DF6A64" w:rsidRPr="00AE527B">
        <w:rPr>
          <w:rFonts w:ascii="Times New Roman" w:eastAsia="Calibri" w:hAnsi="Times New Roman" w:cs="Times New Roman"/>
        </w:rPr>
        <w:t xml:space="preserve">(1) Where a system is designed so as to produce a kind of conduct, the system manifests general intentionality or deliberateness with respect to that conduct. (2) Where the system is of a nature or patently likely (‘predictable’) to produce certain conduct, or that conduct is recurrent, and no positive steps are taken to avoid that result, the system manifests recklessness. (3) Where the system is designed to produce a </w:t>
      </w:r>
      <w:r w:rsidR="00DF6A64" w:rsidRPr="00AE527B">
        <w:rPr>
          <w:rFonts w:ascii="Times New Roman" w:eastAsia="Calibri" w:hAnsi="Times New Roman" w:cs="Times New Roman"/>
          <w:i/>
        </w:rPr>
        <w:t>specific</w:t>
      </w:r>
      <w:r w:rsidR="00DF6A64" w:rsidRPr="00AE527B">
        <w:rPr>
          <w:rFonts w:ascii="Times New Roman" w:eastAsia="Calibri" w:hAnsi="Times New Roman" w:cs="Times New Roman"/>
        </w:rPr>
        <w:t xml:space="preserve"> harm to specific victims, this manifests a further, predatory mindset. (4) The defendant will have k</w:t>
      </w:r>
      <w:r w:rsidR="00DF6A64" w:rsidRPr="00AE527B">
        <w:rPr>
          <w:rFonts w:ascii="Times New Roman" w:hAnsi="Times New Roman" w:cs="Times New Roman"/>
        </w:rPr>
        <w:t xml:space="preserve">nowledge of the key factors necessary for the adopted system to function. </w:t>
      </w:r>
    </w:p>
    <w:p w:rsidR="00727BEB" w:rsidRPr="00AE527B" w:rsidRDefault="00727BEB" w:rsidP="002538E4">
      <w:pPr>
        <w:spacing w:after="120" w:line="276" w:lineRule="auto"/>
        <w:jc w:val="both"/>
        <w:rPr>
          <w:rFonts w:ascii="Times New Roman" w:hAnsi="Times New Roman" w:cs="Times New Roman"/>
        </w:rPr>
      </w:pPr>
      <w:r w:rsidRPr="00AE527B">
        <w:rPr>
          <w:rFonts w:ascii="Times New Roman" w:hAnsi="Times New Roman" w:cs="Times New Roman"/>
        </w:rPr>
        <w:t xml:space="preserve">These insights can, and </w:t>
      </w:r>
      <w:r w:rsidR="00EB019D" w:rsidRPr="00AE527B">
        <w:rPr>
          <w:rFonts w:ascii="Times New Roman" w:hAnsi="Times New Roman" w:cs="Times New Roman"/>
        </w:rPr>
        <w:t>we</w:t>
      </w:r>
      <w:r w:rsidRPr="00AE527B">
        <w:rPr>
          <w:rFonts w:ascii="Times New Roman" w:hAnsi="Times New Roman" w:cs="Times New Roman"/>
        </w:rPr>
        <w:t xml:space="preserve"> think should, apply more broadly to other well-known standards, such as dishonesty</w:t>
      </w:r>
      <w:r w:rsidR="002538E4" w:rsidRPr="00AE527B">
        <w:rPr>
          <w:rFonts w:ascii="Times New Roman" w:hAnsi="Times New Roman" w:cs="Times New Roman"/>
        </w:rPr>
        <w:t xml:space="preserve"> and (if there is a difference) a failure to act ‘honestly’</w:t>
      </w:r>
      <w:r w:rsidRPr="00AE527B">
        <w:rPr>
          <w:rFonts w:ascii="Times New Roman" w:hAnsi="Times New Roman" w:cs="Times New Roman"/>
        </w:rPr>
        <w:t>.</w:t>
      </w:r>
    </w:p>
    <w:p w:rsidR="00727BEB" w:rsidRPr="005B237A" w:rsidRDefault="00727BEB" w:rsidP="002538E4">
      <w:pPr>
        <w:pStyle w:val="ListParagraph"/>
        <w:numPr>
          <w:ilvl w:val="0"/>
          <w:numId w:val="3"/>
        </w:numPr>
        <w:spacing w:after="200" w:line="276" w:lineRule="auto"/>
        <w:jc w:val="both"/>
        <w:rPr>
          <w:rFonts w:ascii="Times New Roman" w:hAnsi="Times New Roman" w:cs="Times New Roman"/>
          <w:b/>
          <w:sz w:val="24"/>
          <w:szCs w:val="24"/>
        </w:rPr>
      </w:pPr>
      <w:r w:rsidRPr="005B237A">
        <w:rPr>
          <w:rFonts w:ascii="Times New Roman" w:hAnsi="Times New Roman" w:cs="Times New Roman"/>
          <w:b/>
          <w:sz w:val="24"/>
          <w:szCs w:val="24"/>
        </w:rPr>
        <w:t>Dishonesty</w:t>
      </w:r>
    </w:p>
    <w:p w:rsidR="00906424" w:rsidRDefault="003E5C1C" w:rsidP="002538E4">
      <w:pPr>
        <w:spacing w:after="200" w:line="276" w:lineRule="auto"/>
        <w:jc w:val="both"/>
        <w:rPr>
          <w:rFonts w:ascii="Times New Roman" w:eastAsia="Calibri" w:hAnsi="Times New Roman" w:cs="Times New Roman"/>
        </w:rPr>
      </w:pPr>
      <w:r>
        <w:rPr>
          <w:rFonts w:ascii="Times New Roman" w:eastAsia="Calibri" w:hAnsi="Times New Roman" w:cs="Times New Roman"/>
        </w:rPr>
        <w:t xml:space="preserve">The meaning of ‘dishonesty’ has been the subject of considerable uncertainty and controversy both in England and in Australia </w:t>
      </w:r>
      <w:r w:rsidR="00906424">
        <w:rPr>
          <w:rFonts w:ascii="Times New Roman" w:eastAsia="Calibri" w:hAnsi="Times New Roman" w:cs="Times New Roman"/>
        </w:rPr>
        <w:t>over past decades</w:t>
      </w:r>
      <w:r>
        <w:rPr>
          <w:rFonts w:ascii="Times New Roman" w:eastAsia="Calibri" w:hAnsi="Times New Roman" w:cs="Times New Roman"/>
        </w:rPr>
        <w:t xml:space="preserve">. </w:t>
      </w:r>
      <w:r w:rsidR="0077237A" w:rsidRPr="005B237A">
        <w:rPr>
          <w:rFonts w:ascii="Times New Roman" w:eastAsia="Calibri" w:hAnsi="Times New Roman" w:cs="Times New Roman"/>
        </w:rPr>
        <w:t xml:space="preserve">As is well-known, the </w:t>
      </w:r>
      <w:r w:rsidR="00F0522F" w:rsidRPr="005B237A">
        <w:rPr>
          <w:rFonts w:ascii="Times New Roman" w:eastAsia="Calibri" w:hAnsi="Times New Roman" w:cs="Times New Roman"/>
          <w:i/>
        </w:rPr>
        <w:t>Ghosh</w:t>
      </w:r>
      <w:r w:rsidR="00F0522F" w:rsidRPr="005B237A">
        <w:rPr>
          <w:rFonts w:ascii="Times New Roman" w:eastAsia="Calibri" w:hAnsi="Times New Roman" w:cs="Times New Roman"/>
        </w:rPr>
        <w:t xml:space="preserve"> test of dishonesty </w:t>
      </w:r>
      <w:r w:rsidR="00906424">
        <w:rPr>
          <w:rFonts w:ascii="Times New Roman" w:eastAsia="Calibri" w:hAnsi="Times New Roman" w:cs="Times New Roman"/>
        </w:rPr>
        <w:t>(n</w:t>
      </w:r>
      <w:r w:rsidR="00906424" w:rsidRPr="00906424">
        <w:rPr>
          <w:rFonts w:ascii="Times New Roman" w:eastAsia="Calibri" w:hAnsi="Times New Roman" w:cs="Times New Roman"/>
        </w:rPr>
        <w:t xml:space="preserve">amed after </w:t>
      </w:r>
      <w:r w:rsidR="00906424" w:rsidRPr="00551959">
        <w:rPr>
          <w:rFonts w:ascii="Times New Roman" w:eastAsia="Calibri" w:hAnsi="Times New Roman" w:cs="Times New Roman"/>
          <w:i/>
        </w:rPr>
        <w:t>R v Ghosh</w:t>
      </w:r>
      <w:r w:rsidR="00906424" w:rsidRPr="00906424">
        <w:rPr>
          <w:rFonts w:ascii="Times New Roman" w:eastAsia="Calibri" w:hAnsi="Times New Roman" w:cs="Times New Roman"/>
        </w:rPr>
        <w:t xml:space="preserve"> [1982] QB 1053</w:t>
      </w:r>
      <w:r w:rsidR="00906424">
        <w:rPr>
          <w:rFonts w:ascii="Times New Roman" w:eastAsia="Calibri" w:hAnsi="Times New Roman" w:cs="Times New Roman"/>
        </w:rPr>
        <w:t xml:space="preserve">) </w:t>
      </w:r>
      <w:r w:rsidR="00F0522F" w:rsidRPr="005B237A">
        <w:rPr>
          <w:rFonts w:ascii="Times New Roman" w:eastAsia="Calibri" w:hAnsi="Times New Roman" w:cs="Times New Roman"/>
        </w:rPr>
        <w:t>was</w:t>
      </w:r>
      <w:r>
        <w:rPr>
          <w:rFonts w:ascii="Times New Roman" w:eastAsia="Calibri" w:hAnsi="Times New Roman" w:cs="Times New Roman"/>
        </w:rPr>
        <w:t xml:space="preserve"> for many years</w:t>
      </w:r>
      <w:r w:rsidR="00F0522F" w:rsidRPr="005B237A">
        <w:rPr>
          <w:rFonts w:ascii="Times New Roman" w:eastAsia="Calibri" w:hAnsi="Times New Roman" w:cs="Times New Roman"/>
        </w:rPr>
        <w:t xml:space="preserve"> incorporated into statutory prohibitions such as s</w:t>
      </w:r>
      <w:r w:rsidR="00906424">
        <w:rPr>
          <w:rFonts w:ascii="Times New Roman" w:eastAsia="Calibri" w:hAnsi="Times New Roman" w:cs="Times New Roman"/>
        </w:rPr>
        <w:t>ection</w:t>
      </w:r>
      <w:r w:rsidR="00F0522F" w:rsidRPr="005B237A">
        <w:rPr>
          <w:rFonts w:ascii="Times New Roman" w:eastAsia="Calibri" w:hAnsi="Times New Roman" w:cs="Times New Roman"/>
        </w:rPr>
        <w:t xml:space="preserve"> 1041G(2) of the </w:t>
      </w:r>
      <w:r w:rsidR="00F0522F" w:rsidRPr="005B237A">
        <w:rPr>
          <w:rFonts w:ascii="Times New Roman" w:eastAsia="Calibri" w:hAnsi="Times New Roman" w:cs="Times New Roman"/>
          <w:i/>
          <w:iCs/>
        </w:rPr>
        <w:t>Corporations Act</w:t>
      </w:r>
      <w:r w:rsidR="00F0522F" w:rsidRPr="005B237A">
        <w:rPr>
          <w:rFonts w:ascii="Times New Roman" w:eastAsia="Calibri" w:hAnsi="Times New Roman" w:cs="Times New Roman"/>
        </w:rPr>
        <w:t xml:space="preserve">. According to its dual approach, the acts in question must be dishonest according to current standards of ordinary decent people </w:t>
      </w:r>
      <w:r w:rsidR="00F0522F" w:rsidRPr="005B237A">
        <w:rPr>
          <w:rFonts w:ascii="Times New Roman" w:eastAsia="Calibri" w:hAnsi="Times New Roman" w:cs="Times New Roman"/>
          <w:i/>
        </w:rPr>
        <w:t>and</w:t>
      </w:r>
      <w:r w:rsidR="00F0522F" w:rsidRPr="005B237A">
        <w:rPr>
          <w:rFonts w:ascii="Times New Roman" w:eastAsia="Calibri" w:hAnsi="Times New Roman" w:cs="Times New Roman"/>
        </w:rPr>
        <w:t xml:space="preserve"> the accused must have realised that they were dishonest by those standards. </w:t>
      </w:r>
    </w:p>
    <w:p w:rsidR="00906424" w:rsidRDefault="00906424" w:rsidP="002538E4">
      <w:pPr>
        <w:spacing w:after="200" w:line="276" w:lineRule="auto"/>
        <w:jc w:val="both"/>
        <w:rPr>
          <w:rFonts w:ascii="Times New Roman" w:eastAsia="Calibri" w:hAnsi="Times New Roman" w:cs="Times New Roman"/>
        </w:rPr>
      </w:pPr>
      <w:r>
        <w:rPr>
          <w:rFonts w:ascii="Times New Roman" w:eastAsia="Calibri" w:hAnsi="Times New Roman" w:cs="Times New Roman"/>
        </w:rPr>
        <w:t>Thus s</w:t>
      </w:r>
      <w:r w:rsidR="00AE527B">
        <w:rPr>
          <w:rFonts w:ascii="Times New Roman" w:eastAsia="Calibri" w:hAnsi="Times New Roman" w:cs="Times New Roman"/>
        </w:rPr>
        <w:t>ection 1041</w:t>
      </w:r>
      <w:r>
        <w:rPr>
          <w:rFonts w:ascii="Times New Roman" w:eastAsia="Calibri" w:hAnsi="Times New Roman" w:cs="Times New Roman"/>
        </w:rPr>
        <w:t>G stated:</w:t>
      </w:r>
    </w:p>
    <w:p w:rsidR="00906424" w:rsidRPr="00B81807" w:rsidRDefault="00906424" w:rsidP="00906424">
      <w:pPr>
        <w:spacing w:before="120" w:after="120" w:line="240" w:lineRule="auto"/>
        <w:ind w:left="720"/>
        <w:jc w:val="both"/>
        <w:rPr>
          <w:rFonts w:ascii="Times New Roman" w:eastAsia="Calibri" w:hAnsi="Times New Roman" w:cs="Times New Roman"/>
          <w:sz w:val="20"/>
          <w:szCs w:val="20"/>
        </w:rPr>
      </w:pPr>
      <w:r w:rsidRPr="00B81807">
        <w:rPr>
          <w:rFonts w:ascii="Times New Roman" w:eastAsia="Calibri" w:hAnsi="Times New Roman" w:cs="Times New Roman"/>
          <w:sz w:val="20"/>
          <w:szCs w:val="20"/>
        </w:rPr>
        <w:t xml:space="preserve">(1) A person must not, in the course of carrying on a financial services business in this jurisdiction, engage in dishonest conduct in relation to a financial product or financial service. </w:t>
      </w:r>
    </w:p>
    <w:p w:rsidR="00906424" w:rsidRPr="00B81807" w:rsidRDefault="00906424" w:rsidP="00906424">
      <w:pPr>
        <w:spacing w:before="120" w:after="120" w:line="240" w:lineRule="auto"/>
        <w:ind w:left="720"/>
        <w:jc w:val="both"/>
        <w:rPr>
          <w:rFonts w:ascii="Times New Roman" w:eastAsia="Calibri" w:hAnsi="Times New Roman" w:cs="Times New Roman"/>
          <w:sz w:val="20"/>
          <w:szCs w:val="20"/>
        </w:rPr>
      </w:pPr>
      <w:r w:rsidRPr="00B81807">
        <w:rPr>
          <w:rFonts w:ascii="Times New Roman" w:eastAsia="Calibri" w:hAnsi="Times New Roman" w:cs="Times New Roman"/>
          <w:sz w:val="20"/>
          <w:szCs w:val="20"/>
        </w:rPr>
        <w:t xml:space="preserve">(2) In this section: </w:t>
      </w:r>
    </w:p>
    <w:p w:rsidR="00906424" w:rsidRPr="00B81807" w:rsidRDefault="00906424" w:rsidP="00906424">
      <w:pPr>
        <w:spacing w:before="120" w:after="120" w:line="240" w:lineRule="auto"/>
        <w:ind w:left="1440"/>
        <w:jc w:val="both"/>
        <w:rPr>
          <w:rFonts w:ascii="Times New Roman" w:eastAsia="Calibri" w:hAnsi="Times New Roman" w:cs="Times New Roman"/>
          <w:sz w:val="20"/>
          <w:szCs w:val="20"/>
        </w:rPr>
      </w:pPr>
      <w:r w:rsidRPr="00B81807">
        <w:rPr>
          <w:rFonts w:ascii="Times New Roman" w:eastAsia="Calibri" w:hAnsi="Times New Roman" w:cs="Times New Roman"/>
          <w:sz w:val="20"/>
          <w:szCs w:val="20"/>
        </w:rPr>
        <w:t xml:space="preserve">Dishonest means: </w:t>
      </w:r>
    </w:p>
    <w:p w:rsidR="00906424" w:rsidRPr="00B81807" w:rsidRDefault="00906424" w:rsidP="00906424">
      <w:pPr>
        <w:spacing w:before="120" w:after="120" w:line="240" w:lineRule="auto"/>
        <w:ind w:left="1440"/>
        <w:jc w:val="both"/>
        <w:rPr>
          <w:rFonts w:ascii="Times New Roman" w:eastAsia="Calibri" w:hAnsi="Times New Roman" w:cs="Times New Roman"/>
          <w:sz w:val="20"/>
          <w:szCs w:val="20"/>
        </w:rPr>
      </w:pPr>
      <w:r w:rsidRPr="00B81807">
        <w:rPr>
          <w:rFonts w:ascii="Times New Roman" w:eastAsia="Calibri" w:hAnsi="Times New Roman" w:cs="Times New Roman"/>
          <w:sz w:val="20"/>
          <w:szCs w:val="20"/>
        </w:rPr>
        <w:t xml:space="preserve">(a) dishonest according to the standards of ordinary people; and </w:t>
      </w:r>
    </w:p>
    <w:p w:rsidR="00906424" w:rsidRPr="00B81807" w:rsidRDefault="00906424" w:rsidP="00906424">
      <w:pPr>
        <w:spacing w:before="120" w:after="120" w:line="240" w:lineRule="auto"/>
        <w:ind w:left="1440"/>
        <w:jc w:val="both"/>
        <w:rPr>
          <w:rFonts w:ascii="Times New Roman" w:eastAsia="Calibri" w:hAnsi="Times New Roman" w:cs="Times New Roman"/>
          <w:sz w:val="20"/>
          <w:szCs w:val="20"/>
        </w:rPr>
      </w:pPr>
      <w:r w:rsidRPr="00B81807">
        <w:rPr>
          <w:rFonts w:ascii="Times New Roman" w:eastAsia="Calibri" w:hAnsi="Times New Roman" w:cs="Times New Roman"/>
          <w:sz w:val="20"/>
          <w:szCs w:val="20"/>
        </w:rPr>
        <w:t>(b) known by the person to be dishonest according to the standards of ordinary people.</w:t>
      </w:r>
    </w:p>
    <w:p w:rsidR="00906424" w:rsidRDefault="00906424" w:rsidP="002538E4">
      <w:pPr>
        <w:spacing w:after="200" w:line="276" w:lineRule="auto"/>
        <w:jc w:val="both"/>
        <w:rPr>
          <w:rFonts w:ascii="Times New Roman" w:eastAsia="Calibri" w:hAnsi="Times New Roman" w:cs="Times New Roman"/>
        </w:rPr>
      </w:pPr>
    </w:p>
    <w:p w:rsidR="00F0522F" w:rsidRPr="005B237A" w:rsidRDefault="00906424" w:rsidP="002538E4">
      <w:pPr>
        <w:spacing w:after="200" w:line="276" w:lineRule="auto"/>
        <w:jc w:val="both"/>
        <w:rPr>
          <w:rFonts w:ascii="Times New Roman" w:eastAsia="Calibri" w:hAnsi="Times New Roman" w:cs="Times New Roman"/>
        </w:rPr>
      </w:pPr>
      <w:r>
        <w:rPr>
          <w:rFonts w:ascii="Times New Roman" w:eastAsia="Calibri" w:hAnsi="Times New Roman" w:cs="Times New Roman"/>
        </w:rPr>
        <w:t xml:space="preserve"> </w:t>
      </w:r>
      <w:r w:rsidR="00F0522F" w:rsidRPr="005B237A">
        <w:rPr>
          <w:rFonts w:ascii="Times New Roman" w:eastAsia="Calibri" w:hAnsi="Times New Roman" w:cs="Times New Roman"/>
        </w:rPr>
        <w:t>The subjective mental component</w:t>
      </w:r>
      <w:r>
        <w:rPr>
          <w:rFonts w:ascii="Times New Roman" w:eastAsia="Calibri" w:hAnsi="Times New Roman" w:cs="Times New Roman"/>
        </w:rPr>
        <w:t xml:space="preserve"> of the </w:t>
      </w:r>
      <w:r w:rsidRPr="00551959">
        <w:rPr>
          <w:rFonts w:ascii="Times New Roman" w:eastAsia="Calibri" w:hAnsi="Times New Roman" w:cs="Times New Roman"/>
          <w:i/>
        </w:rPr>
        <w:t>Ghosh</w:t>
      </w:r>
      <w:r>
        <w:rPr>
          <w:rFonts w:ascii="Times New Roman" w:eastAsia="Calibri" w:hAnsi="Times New Roman" w:cs="Times New Roman"/>
        </w:rPr>
        <w:t xml:space="preserve"> test, reflected in section 1041G(2)(b),</w:t>
      </w:r>
      <w:r w:rsidR="00F0522F" w:rsidRPr="005B237A">
        <w:rPr>
          <w:rFonts w:ascii="Times New Roman" w:eastAsia="Calibri" w:hAnsi="Times New Roman" w:cs="Times New Roman"/>
        </w:rPr>
        <w:t xml:space="preserve"> has been widely criticised, not least for unhelpfully promoting (if not endorsing)</w:t>
      </w:r>
      <w:r w:rsidR="0077237A" w:rsidRPr="005B237A">
        <w:rPr>
          <w:rFonts w:ascii="Times New Roman" w:eastAsia="Calibri" w:hAnsi="Times New Roman" w:cs="Times New Roman"/>
        </w:rPr>
        <w:t xml:space="preserve"> a ‘Robin Hood’ mentality.</w:t>
      </w:r>
      <w:r w:rsidR="00F0522F" w:rsidRPr="005B237A">
        <w:rPr>
          <w:rFonts w:ascii="Times New Roman" w:eastAsia="Calibri" w:hAnsi="Times New Roman" w:cs="Times New Roman"/>
        </w:rPr>
        <w:t xml:space="preserve"> It was rejected by the High Court of Australia </w:t>
      </w:r>
      <w:r w:rsidR="00F0522F" w:rsidRPr="005B237A">
        <w:rPr>
          <w:rFonts w:ascii="Times New Roman" w:eastAsia="Calibri" w:hAnsi="Times New Roman" w:cs="Times New Roman"/>
          <w:i/>
          <w:iCs/>
        </w:rPr>
        <w:t>Peters v R</w:t>
      </w:r>
      <w:r w:rsidR="0077237A" w:rsidRPr="005B237A">
        <w:rPr>
          <w:rFonts w:ascii="Times New Roman" w:eastAsia="Calibri" w:hAnsi="Times New Roman" w:cs="Times New Roman"/>
          <w:i/>
          <w:iCs/>
        </w:rPr>
        <w:t xml:space="preserve"> </w:t>
      </w:r>
      <w:r w:rsidR="0077237A" w:rsidRPr="005B237A">
        <w:rPr>
          <w:rFonts w:ascii="Times New Roman" w:eastAsia="Calibri" w:hAnsi="Times New Roman" w:cs="Times New Roman"/>
        </w:rPr>
        <w:t>(1998) 192 CLR 493,</w:t>
      </w:r>
      <w:r w:rsidR="00F0522F" w:rsidRPr="005B237A">
        <w:rPr>
          <w:rFonts w:ascii="Times New Roman" w:eastAsia="Calibri" w:hAnsi="Times New Roman" w:cs="Times New Roman"/>
        </w:rPr>
        <w:t xml:space="preserve"> a position that it has repeatedly affirmed. The test has also now been authoritatively abandoned in England as a wrong turn in the law.</w:t>
      </w:r>
      <w:r w:rsidR="0077237A" w:rsidRPr="005B237A">
        <w:rPr>
          <w:rFonts w:ascii="Times New Roman" w:eastAsia="Calibri" w:hAnsi="Times New Roman" w:cs="Times New Roman"/>
        </w:rPr>
        <w:t xml:space="preserve"> </w:t>
      </w:r>
      <w:r w:rsidR="00F0522F" w:rsidRPr="005B237A">
        <w:rPr>
          <w:rFonts w:ascii="Times New Roman" w:eastAsia="Calibri" w:hAnsi="Times New Roman" w:cs="Times New Roman"/>
        </w:rPr>
        <w:t xml:space="preserve">Consistently, </w:t>
      </w:r>
      <w:r w:rsidR="0077237A" w:rsidRPr="005B237A">
        <w:rPr>
          <w:rFonts w:ascii="Times New Roman" w:eastAsia="Calibri" w:hAnsi="Times New Roman" w:cs="Times New Roman"/>
        </w:rPr>
        <w:t xml:space="preserve">Australian </w:t>
      </w:r>
      <w:r w:rsidR="00F0522F" w:rsidRPr="005B237A">
        <w:rPr>
          <w:rFonts w:ascii="Times New Roman" w:eastAsia="Calibri" w:hAnsi="Times New Roman" w:cs="Times New Roman"/>
        </w:rPr>
        <w:t xml:space="preserve">courts applying civil law doctrines in which dishonesty forms a component </w:t>
      </w:r>
      <w:r w:rsidR="0077237A" w:rsidRPr="005B237A">
        <w:rPr>
          <w:rFonts w:ascii="Times New Roman" w:eastAsia="Calibri" w:hAnsi="Times New Roman" w:cs="Times New Roman"/>
        </w:rPr>
        <w:t xml:space="preserve">(for example, knowing assistance) </w:t>
      </w:r>
      <w:r w:rsidR="00F0522F" w:rsidRPr="005B237A">
        <w:rPr>
          <w:rFonts w:ascii="Times New Roman" w:eastAsia="Calibri" w:hAnsi="Times New Roman" w:cs="Times New Roman"/>
        </w:rPr>
        <w:t xml:space="preserve">have </w:t>
      </w:r>
      <w:r w:rsidR="0077237A" w:rsidRPr="005B237A">
        <w:rPr>
          <w:rFonts w:ascii="Times New Roman" w:eastAsia="Calibri" w:hAnsi="Times New Roman" w:cs="Times New Roman"/>
        </w:rPr>
        <w:t>refused to apply the</w:t>
      </w:r>
      <w:r w:rsidR="00F0522F" w:rsidRPr="005B237A">
        <w:rPr>
          <w:rFonts w:ascii="Times New Roman" w:eastAsia="Calibri" w:hAnsi="Times New Roman" w:cs="Times New Roman"/>
        </w:rPr>
        <w:t xml:space="preserve"> </w:t>
      </w:r>
      <w:r w:rsidR="00F0522F" w:rsidRPr="005B237A">
        <w:rPr>
          <w:rFonts w:ascii="Times New Roman" w:eastAsia="Calibri" w:hAnsi="Times New Roman" w:cs="Times New Roman"/>
          <w:i/>
        </w:rPr>
        <w:t>Ghosh</w:t>
      </w:r>
      <w:r w:rsidR="00F0522F" w:rsidRPr="005B237A">
        <w:rPr>
          <w:rFonts w:ascii="Times New Roman" w:eastAsia="Calibri" w:hAnsi="Times New Roman" w:cs="Times New Roman"/>
        </w:rPr>
        <w:t xml:space="preserve"> dual test</w:t>
      </w:r>
      <w:r w:rsidR="0077237A" w:rsidRPr="005B237A">
        <w:rPr>
          <w:rFonts w:ascii="Times New Roman" w:eastAsia="Calibri" w:hAnsi="Times New Roman" w:cs="Times New Roman"/>
        </w:rPr>
        <w:t xml:space="preserve">: see, eg </w:t>
      </w:r>
      <w:r w:rsidR="00F0522F" w:rsidRPr="005B237A">
        <w:rPr>
          <w:rFonts w:ascii="Times New Roman" w:eastAsia="Calibri" w:hAnsi="Times New Roman" w:cs="Times New Roman"/>
          <w:i/>
        </w:rPr>
        <w:t>Ancient Order of Foresters in Victoria Friendly Society Limited v Lifeplan Australia Friendly Society Limited</w:t>
      </w:r>
      <w:r w:rsidR="0077237A" w:rsidRPr="005B237A">
        <w:rPr>
          <w:rFonts w:ascii="Times New Roman" w:eastAsia="Calibri" w:hAnsi="Times New Roman" w:cs="Times New Roman"/>
        </w:rPr>
        <w:t>(2018) 265 CLR 1, 31 [71] (</w:t>
      </w:r>
      <w:r w:rsidR="00F0522F" w:rsidRPr="005B237A">
        <w:rPr>
          <w:rFonts w:ascii="Times New Roman" w:eastAsia="Calibri" w:hAnsi="Times New Roman" w:cs="Times New Roman"/>
        </w:rPr>
        <w:t>Kiefel CJ, Keane and Edelman JJ</w:t>
      </w:r>
      <w:r w:rsidR="0077237A" w:rsidRPr="005B237A">
        <w:rPr>
          <w:rFonts w:ascii="Times New Roman" w:eastAsia="Calibri" w:hAnsi="Times New Roman" w:cs="Times New Roman"/>
        </w:rPr>
        <w:t>).</w:t>
      </w:r>
      <w:r w:rsidR="00F0522F" w:rsidRPr="005B237A">
        <w:rPr>
          <w:rFonts w:ascii="Times New Roman" w:eastAsia="Calibri" w:hAnsi="Times New Roman" w:cs="Times New Roman"/>
        </w:rPr>
        <w:t xml:space="preserve"> </w:t>
      </w:r>
    </w:p>
    <w:p w:rsidR="00F0522F" w:rsidRPr="005B237A" w:rsidRDefault="00F0522F" w:rsidP="002538E4">
      <w:pPr>
        <w:spacing w:after="200" w:line="276" w:lineRule="auto"/>
        <w:jc w:val="both"/>
        <w:rPr>
          <w:rFonts w:ascii="Times New Roman" w:eastAsia="Calibri" w:hAnsi="Times New Roman" w:cs="Times New Roman"/>
        </w:rPr>
      </w:pPr>
      <w:r w:rsidRPr="005B237A">
        <w:rPr>
          <w:rFonts w:ascii="Times New Roman" w:eastAsia="Calibri" w:hAnsi="Times New Roman" w:cs="Times New Roman"/>
        </w:rPr>
        <w:t xml:space="preserve">This shift to a more objective standpoint is reflected in the recent amendment to the definition of ‘dishonest’ in s 9 of the </w:t>
      </w:r>
      <w:r w:rsidRPr="005B237A">
        <w:rPr>
          <w:rFonts w:ascii="Times New Roman" w:eastAsia="Calibri" w:hAnsi="Times New Roman" w:cs="Times New Roman"/>
          <w:i/>
          <w:iCs/>
        </w:rPr>
        <w:t>Corporations Act</w:t>
      </w:r>
      <w:r w:rsidRPr="005B237A">
        <w:rPr>
          <w:rFonts w:ascii="Times New Roman" w:eastAsia="Calibri" w:hAnsi="Times New Roman" w:cs="Times New Roman"/>
        </w:rPr>
        <w:t xml:space="preserve">, by which ‘dishonest means dishonest according to the standards of ordinary people’. </w:t>
      </w:r>
    </w:p>
    <w:p w:rsidR="00727BEB" w:rsidRDefault="00F0522F" w:rsidP="002538E4">
      <w:pPr>
        <w:spacing w:after="200" w:line="276" w:lineRule="auto"/>
        <w:jc w:val="both"/>
        <w:rPr>
          <w:rFonts w:ascii="Times New Roman" w:eastAsia="Calibri" w:hAnsi="Times New Roman" w:cs="Times New Roman"/>
        </w:rPr>
      </w:pPr>
      <w:r w:rsidRPr="005B237A">
        <w:rPr>
          <w:rFonts w:ascii="Times New Roman" w:eastAsia="Calibri" w:hAnsi="Times New Roman" w:cs="Times New Roman"/>
        </w:rPr>
        <w:t>While this trend might suggest that dishonesty is a wholly objective standard of conduct</w:t>
      </w:r>
      <w:r w:rsidR="0077237A" w:rsidRPr="005B237A">
        <w:rPr>
          <w:rFonts w:ascii="Times New Roman" w:eastAsia="Calibri" w:hAnsi="Times New Roman" w:cs="Times New Roman"/>
        </w:rPr>
        <w:t xml:space="preserve"> (like ‘misleading conduct’</w:t>
      </w:r>
      <w:r w:rsidR="00D5498F" w:rsidRPr="005B237A">
        <w:rPr>
          <w:rFonts w:ascii="Times New Roman" w:eastAsia="Calibri" w:hAnsi="Times New Roman" w:cs="Times New Roman"/>
        </w:rPr>
        <w:t>)</w:t>
      </w:r>
      <w:r w:rsidRPr="005B237A">
        <w:rPr>
          <w:rFonts w:ascii="Times New Roman" w:eastAsia="Calibri" w:hAnsi="Times New Roman" w:cs="Times New Roman"/>
        </w:rPr>
        <w:t xml:space="preserve">, that conclusion overstates the position. On the current state of authorities, it remains necessary to assess objectively the quality of the defendant’s conduct </w:t>
      </w:r>
      <w:r w:rsidRPr="005B237A">
        <w:rPr>
          <w:rFonts w:ascii="Times New Roman" w:eastAsia="Calibri" w:hAnsi="Times New Roman" w:cs="Times New Roman"/>
          <w:i/>
        </w:rPr>
        <w:t>in light of the defendant’s</w:t>
      </w:r>
      <w:r w:rsidRPr="005B237A">
        <w:rPr>
          <w:rFonts w:ascii="Times New Roman" w:eastAsia="Calibri" w:hAnsi="Times New Roman" w:cs="Times New Roman"/>
        </w:rPr>
        <w:t xml:space="preserve"> actual intention and knowledge.</w:t>
      </w:r>
      <w:r w:rsidRPr="005B237A">
        <w:rPr>
          <w:rFonts w:ascii="Times New Roman" w:hAnsi="Times New Roman" w:cs="Times New Roman"/>
        </w:rPr>
        <w:t xml:space="preserve"> As the High Court explained in </w:t>
      </w:r>
      <w:r w:rsidRPr="005B237A">
        <w:rPr>
          <w:rFonts w:ascii="Times New Roman" w:hAnsi="Times New Roman" w:cs="Times New Roman"/>
          <w:i/>
        </w:rPr>
        <w:t>Peters</w:t>
      </w:r>
      <w:r w:rsidRPr="005B237A">
        <w:rPr>
          <w:rFonts w:ascii="Times New Roman" w:hAnsi="Times New Roman" w:cs="Times New Roman"/>
        </w:rPr>
        <w:t>, ‘</w:t>
      </w:r>
      <w:r w:rsidRPr="005B237A">
        <w:rPr>
          <w:rFonts w:ascii="Times New Roman" w:eastAsia="Calibri" w:hAnsi="Times New Roman" w:cs="Times New Roman"/>
        </w:rPr>
        <w:t>ordinary, honest persons determine whether a person's act is dishonest by reference to that person's knowledge or belief as to some fact relevant to the act in question or the intention with which the act was done.’</w:t>
      </w:r>
    </w:p>
    <w:p w:rsidR="002538E4" w:rsidRPr="005B237A" w:rsidRDefault="00906424" w:rsidP="002538E4">
      <w:pPr>
        <w:spacing w:after="200" w:line="276" w:lineRule="auto"/>
        <w:jc w:val="both"/>
        <w:rPr>
          <w:rFonts w:ascii="Times New Roman" w:eastAsia="Calibri" w:hAnsi="Times New Roman" w:cs="Times New Roman"/>
        </w:rPr>
      </w:pPr>
      <w:r>
        <w:rPr>
          <w:rFonts w:ascii="Times New Roman" w:eastAsia="Calibri" w:hAnsi="Times New Roman" w:cs="Times New Roman"/>
        </w:rPr>
        <w:t>This mental component still presents a significant hurdle to regulators, in particular in proceedings against large and devolved corporate defendants. However, i</w:t>
      </w:r>
      <w:r w:rsidR="002538E4">
        <w:rPr>
          <w:rFonts w:ascii="Times New Roman" w:eastAsia="Calibri" w:hAnsi="Times New Roman" w:cs="Times New Roman"/>
        </w:rPr>
        <w:t xml:space="preserve">f (as </w:t>
      </w:r>
      <w:r w:rsidR="00887949">
        <w:rPr>
          <w:rFonts w:ascii="Times New Roman" w:eastAsia="Calibri" w:hAnsi="Times New Roman" w:cs="Times New Roman"/>
        </w:rPr>
        <w:t>I</w:t>
      </w:r>
      <w:r w:rsidR="002538E4">
        <w:rPr>
          <w:rFonts w:ascii="Times New Roman" w:eastAsia="Calibri" w:hAnsi="Times New Roman" w:cs="Times New Roman"/>
        </w:rPr>
        <w:t xml:space="preserve"> say) </w:t>
      </w:r>
      <w:r w:rsidR="00887949">
        <w:rPr>
          <w:rFonts w:ascii="Times New Roman" w:eastAsia="Calibri" w:hAnsi="Times New Roman" w:cs="Times New Roman"/>
        </w:rPr>
        <w:t>‘</w:t>
      </w:r>
      <w:r w:rsidR="002538E4">
        <w:rPr>
          <w:rFonts w:ascii="Times New Roman" w:eastAsia="Calibri" w:hAnsi="Times New Roman" w:cs="Times New Roman"/>
        </w:rPr>
        <w:t>systems intentionality</w:t>
      </w:r>
      <w:r w:rsidR="00887949">
        <w:rPr>
          <w:rFonts w:ascii="Times New Roman" w:eastAsia="Calibri" w:hAnsi="Times New Roman" w:cs="Times New Roman"/>
        </w:rPr>
        <w:t>’</w:t>
      </w:r>
      <w:r w:rsidR="002538E4">
        <w:rPr>
          <w:rFonts w:ascii="Times New Roman" w:eastAsia="Calibri" w:hAnsi="Times New Roman" w:cs="Times New Roman"/>
        </w:rPr>
        <w:t xml:space="preserve"> can </w:t>
      </w:r>
      <w:r w:rsidR="00887949">
        <w:rPr>
          <w:rFonts w:ascii="Times New Roman" w:eastAsia="Calibri" w:hAnsi="Times New Roman" w:cs="Times New Roman"/>
        </w:rPr>
        <w:t>manifest or demonstrate</w:t>
      </w:r>
      <w:r w:rsidR="002538E4">
        <w:rPr>
          <w:rFonts w:ascii="Times New Roman" w:eastAsia="Calibri" w:hAnsi="Times New Roman" w:cs="Times New Roman"/>
        </w:rPr>
        <w:t xml:space="preserve"> a defendant corporation’s mental state, it can be used to support use of dishonesty provisions to express denunciation and to deter systems of misconduct. I return to this possibility in the final section.</w:t>
      </w:r>
    </w:p>
    <w:p w:rsidR="00F0522F" w:rsidRPr="002538E4" w:rsidRDefault="00D03D8E" w:rsidP="002538E4">
      <w:pPr>
        <w:pStyle w:val="ListParagraph"/>
        <w:numPr>
          <w:ilvl w:val="0"/>
          <w:numId w:val="3"/>
        </w:numPr>
        <w:spacing w:after="200" w:line="276" w:lineRule="auto"/>
        <w:jc w:val="both"/>
        <w:rPr>
          <w:rFonts w:ascii="Times New Roman" w:eastAsia="Calibri" w:hAnsi="Times New Roman" w:cs="Times New Roman"/>
          <w:b/>
          <w:sz w:val="24"/>
          <w:szCs w:val="24"/>
        </w:rPr>
      </w:pPr>
      <w:r w:rsidRPr="002538E4">
        <w:rPr>
          <w:rFonts w:ascii="Times New Roman" w:eastAsia="Calibri" w:hAnsi="Times New Roman" w:cs="Times New Roman"/>
          <w:b/>
          <w:sz w:val="24"/>
          <w:szCs w:val="24"/>
        </w:rPr>
        <w:t>‘</w:t>
      </w:r>
      <w:r w:rsidR="00F0522F" w:rsidRPr="002538E4">
        <w:rPr>
          <w:rFonts w:ascii="Times New Roman" w:eastAsia="Calibri" w:hAnsi="Times New Roman" w:cs="Times New Roman"/>
          <w:b/>
          <w:sz w:val="24"/>
          <w:szCs w:val="24"/>
        </w:rPr>
        <w:t>Efficiently, honestly and fairly</w:t>
      </w:r>
      <w:r w:rsidRPr="002538E4">
        <w:rPr>
          <w:rFonts w:ascii="Times New Roman" w:eastAsia="Calibri" w:hAnsi="Times New Roman" w:cs="Times New Roman"/>
          <w:b/>
          <w:sz w:val="24"/>
          <w:szCs w:val="24"/>
        </w:rPr>
        <w:t>’</w:t>
      </w:r>
    </w:p>
    <w:p w:rsidR="0077237A" w:rsidRPr="005B237A" w:rsidRDefault="0077237A" w:rsidP="002538E4">
      <w:pPr>
        <w:spacing w:after="200" w:line="276" w:lineRule="auto"/>
        <w:jc w:val="both"/>
        <w:rPr>
          <w:rFonts w:ascii="Times New Roman" w:eastAsia="Calibri" w:hAnsi="Times New Roman" w:cs="Times New Roman"/>
        </w:rPr>
      </w:pPr>
      <w:r w:rsidRPr="005B237A">
        <w:rPr>
          <w:rFonts w:ascii="Times New Roman" w:eastAsia="Calibri" w:hAnsi="Times New Roman" w:cs="Times New Roman"/>
        </w:rPr>
        <w:t xml:space="preserve">The </w:t>
      </w:r>
      <w:r w:rsidR="00F0522F" w:rsidRPr="005B237A">
        <w:rPr>
          <w:rFonts w:ascii="Times New Roman" w:eastAsia="Calibri" w:hAnsi="Times New Roman" w:cs="Times New Roman"/>
        </w:rPr>
        <w:t xml:space="preserve">general licensing obligation in s 912A of the </w:t>
      </w:r>
      <w:r w:rsidR="00F0522F" w:rsidRPr="005B237A">
        <w:rPr>
          <w:rFonts w:ascii="Times New Roman" w:eastAsia="Calibri" w:hAnsi="Times New Roman" w:cs="Times New Roman"/>
          <w:i/>
          <w:iCs/>
        </w:rPr>
        <w:t>Corporations Act</w:t>
      </w:r>
      <w:r w:rsidR="00F0522F" w:rsidRPr="005B237A">
        <w:rPr>
          <w:rFonts w:ascii="Times New Roman" w:eastAsia="Calibri" w:hAnsi="Times New Roman" w:cs="Times New Roman"/>
        </w:rPr>
        <w:t xml:space="preserve"> requires</w:t>
      </w:r>
      <w:r w:rsidR="00F0522F" w:rsidRPr="005B237A">
        <w:rPr>
          <w:rFonts w:ascii="Times New Roman" w:hAnsi="Times New Roman" w:cs="Times New Roman"/>
        </w:rPr>
        <w:t xml:space="preserve"> those holding financial services licences ‘</w:t>
      </w:r>
      <w:r w:rsidR="00F0522F" w:rsidRPr="005B237A">
        <w:rPr>
          <w:rFonts w:ascii="Times New Roman" w:eastAsia="Calibri" w:hAnsi="Times New Roman" w:cs="Times New Roman"/>
        </w:rPr>
        <w:t>to do all things necessary to ensure that the financial services covered by the licence are provided efficiently, honestly and fairly’. This route may be particularly attractive now that these elements have been interpreted to be disaggregated, rather than cumulative, requirements</w:t>
      </w:r>
      <w:r w:rsidRPr="005B237A">
        <w:rPr>
          <w:rFonts w:ascii="Times New Roman" w:eastAsia="Calibri" w:hAnsi="Times New Roman" w:cs="Times New Roman"/>
        </w:rPr>
        <w:t xml:space="preserve">: </w:t>
      </w:r>
      <w:r w:rsidRPr="005B237A">
        <w:rPr>
          <w:rFonts w:ascii="Times New Roman" w:eastAsia="Calibri" w:hAnsi="Times New Roman" w:cs="Times New Roman"/>
          <w:i/>
        </w:rPr>
        <w:t>ASIC v Westpac</w:t>
      </w:r>
      <w:r w:rsidRPr="005B237A">
        <w:rPr>
          <w:rFonts w:ascii="Times New Roman" w:eastAsia="Calibri" w:hAnsi="Times New Roman" w:cs="Times New Roman"/>
        </w:rPr>
        <w:t xml:space="preserve"> [2019] FCAFC 187. Cf </w:t>
      </w:r>
      <w:r w:rsidR="00D03D8E" w:rsidRPr="005B237A">
        <w:rPr>
          <w:rFonts w:ascii="Times New Roman" w:eastAsia="Calibri" w:hAnsi="Times New Roman" w:cs="Times New Roman"/>
          <w:i/>
        </w:rPr>
        <w:t>Australian Securities and Investments Commission v MLC Nominees Pty Ltd</w:t>
      </w:r>
      <w:r w:rsidR="00D03D8E" w:rsidRPr="005B237A">
        <w:rPr>
          <w:rFonts w:ascii="Times New Roman" w:eastAsia="Calibri" w:hAnsi="Times New Roman" w:cs="Times New Roman"/>
        </w:rPr>
        <w:t xml:space="preserve"> [2020] FCA 1306 </w:t>
      </w:r>
      <w:r w:rsidRPr="005B237A">
        <w:rPr>
          <w:rFonts w:ascii="Times New Roman" w:eastAsia="Calibri" w:hAnsi="Times New Roman" w:cs="Times New Roman"/>
        </w:rPr>
        <w:t>[50]</w:t>
      </w:r>
      <w:r w:rsidR="00D03D8E" w:rsidRPr="005B237A">
        <w:rPr>
          <w:rFonts w:ascii="Times New Roman" w:eastAsia="Calibri" w:hAnsi="Times New Roman" w:cs="Times New Roman"/>
        </w:rPr>
        <w:t xml:space="preserve"> (Yates J)</w:t>
      </w:r>
      <w:r w:rsidRPr="005B237A">
        <w:rPr>
          <w:rFonts w:ascii="Times New Roman" w:eastAsia="Calibri" w:hAnsi="Times New Roman" w:cs="Times New Roman"/>
        </w:rPr>
        <w:t>.</w:t>
      </w:r>
      <w:r w:rsidR="00F0522F" w:rsidRPr="005B237A">
        <w:rPr>
          <w:rFonts w:ascii="Times New Roman" w:eastAsia="Calibri" w:hAnsi="Times New Roman" w:cs="Times New Roman"/>
        </w:rPr>
        <w:t xml:space="preserve"> Thus it may be enough to show that the conduct was not honest, or efficient, or fair, to contravene the section. </w:t>
      </w:r>
      <w:r w:rsidR="0034772A" w:rsidRPr="005B237A">
        <w:rPr>
          <w:rFonts w:ascii="Times New Roman" w:eastAsia="Calibri" w:hAnsi="Times New Roman" w:cs="Times New Roman"/>
        </w:rPr>
        <w:t xml:space="preserve">Subsequent courts have yet to resolve/discuss further the compendious/disaggregated debate: see, eg </w:t>
      </w:r>
      <w:r w:rsidR="0034772A" w:rsidRPr="005B237A">
        <w:rPr>
          <w:rFonts w:ascii="Times New Roman" w:eastAsia="Calibri" w:hAnsi="Times New Roman" w:cs="Times New Roman"/>
          <w:i/>
        </w:rPr>
        <w:t>Australian Securities and Investments Commission v RI Advice Group Pty Ltd (No 2)</w:t>
      </w:r>
      <w:r w:rsidR="0034772A" w:rsidRPr="005B237A">
        <w:rPr>
          <w:rFonts w:ascii="Times New Roman" w:eastAsia="Calibri" w:hAnsi="Times New Roman" w:cs="Times New Roman"/>
        </w:rPr>
        <w:t xml:space="preserve"> [2021] FCA 877 [377] (Moshinsky J).</w:t>
      </w:r>
    </w:p>
    <w:p w:rsidR="002D6093" w:rsidRPr="005B237A" w:rsidRDefault="002538E4" w:rsidP="002538E4">
      <w:pPr>
        <w:spacing w:after="200" w:line="276" w:lineRule="auto"/>
        <w:jc w:val="both"/>
        <w:rPr>
          <w:rFonts w:ascii="Times New Roman" w:eastAsia="Calibri" w:hAnsi="Times New Roman" w:cs="Times New Roman"/>
        </w:rPr>
      </w:pPr>
      <w:r w:rsidRPr="002538E4">
        <w:rPr>
          <w:rFonts w:ascii="Times New Roman" w:eastAsia="Calibri" w:hAnsi="Times New Roman" w:cs="Times New Roman"/>
        </w:rPr>
        <w:t xml:space="preserve">Contravention of s 912A(1)(a) is now also a breach of a civil penalty provision, namely s 912A(5A). </w:t>
      </w:r>
      <w:r w:rsidR="00EE4038" w:rsidRPr="005B237A">
        <w:rPr>
          <w:rFonts w:ascii="Times New Roman" w:eastAsia="Calibri" w:hAnsi="Times New Roman" w:cs="Times New Roman"/>
        </w:rPr>
        <w:t>This was introduced by the </w:t>
      </w:r>
      <w:r w:rsidR="00EE4038" w:rsidRPr="005B237A">
        <w:rPr>
          <w:rFonts w:ascii="Times New Roman" w:eastAsia="Calibri" w:hAnsi="Times New Roman" w:cs="Times New Roman"/>
          <w:i/>
          <w:iCs/>
        </w:rPr>
        <w:t>Treasury Laws Amendment (Strengthening Corporate and Financial Sector Penalties) Bill 2019 </w:t>
      </w:r>
      <w:r>
        <w:rPr>
          <w:rFonts w:ascii="Times New Roman" w:eastAsia="Calibri" w:hAnsi="Times New Roman" w:cs="Times New Roman"/>
        </w:rPr>
        <w:t xml:space="preserve">(Cth), but only </w:t>
      </w:r>
      <w:r w:rsidR="00EE4038" w:rsidRPr="005B237A">
        <w:rPr>
          <w:rFonts w:ascii="Times New Roman" w:eastAsia="Calibri" w:hAnsi="Times New Roman" w:cs="Times New Roman"/>
        </w:rPr>
        <w:t xml:space="preserve">took effect on 13 March 2019. It follows that a number of the penalty cases coming through the courts </w:t>
      </w:r>
      <w:r>
        <w:rPr>
          <w:rFonts w:ascii="Times New Roman" w:eastAsia="Calibri" w:hAnsi="Times New Roman" w:cs="Times New Roman"/>
        </w:rPr>
        <w:t>combine</w:t>
      </w:r>
      <w:r w:rsidR="00EE4038" w:rsidRPr="005B237A">
        <w:rPr>
          <w:rFonts w:ascii="Times New Roman" w:eastAsia="Calibri" w:hAnsi="Times New Roman" w:cs="Times New Roman"/>
        </w:rPr>
        <w:t xml:space="preserve"> s 912A </w:t>
      </w:r>
      <w:r>
        <w:rPr>
          <w:rFonts w:ascii="Times New Roman" w:eastAsia="Calibri" w:hAnsi="Times New Roman" w:cs="Times New Roman"/>
        </w:rPr>
        <w:t>claims</w:t>
      </w:r>
      <w:r w:rsidR="00EE4038" w:rsidRPr="005B237A">
        <w:rPr>
          <w:rFonts w:ascii="Times New Roman" w:eastAsia="Calibri" w:hAnsi="Times New Roman" w:cs="Times New Roman"/>
        </w:rPr>
        <w:t xml:space="preserve"> with other claims that attract civil penalties: eg misleading or unconscionable conduct.</w:t>
      </w:r>
      <w:r w:rsidR="00EE4038" w:rsidRPr="005B237A">
        <w:rPr>
          <w:rFonts w:ascii="Times New Roman" w:hAnsi="Times New Roman" w:cs="Times New Roman"/>
        </w:rPr>
        <w:t xml:space="preserve"> </w:t>
      </w:r>
      <w:r w:rsidR="002D6093" w:rsidRPr="005B237A">
        <w:rPr>
          <w:rFonts w:ascii="Times New Roman" w:hAnsi="Times New Roman" w:cs="Times New Roman"/>
        </w:rPr>
        <w:t xml:space="preserve">An example is </w:t>
      </w:r>
      <w:r w:rsidR="00EE4038" w:rsidRPr="005B237A">
        <w:rPr>
          <w:rFonts w:ascii="Times New Roman" w:eastAsia="Calibri" w:hAnsi="Times New Roman" w:cs="Times New Roman"/>
          <w:i/>
        </w:rPr>
        <w:t xml:space="preserve">Australian Securities and </w:t>
      </w:r>
      <w:r w:rsidR="002D6093" w:rsidRPr="005B237A">
        <w:rPr>
          <w:rFonts w:ascii="Times New Roman" w:eastAsia="Calibri" w:hAnsi="Times New Roman" w:cs="Times New Roman"/>
          <w:i/>
        </w:rPr>
        <w:t xml:space="preserve">Investments Commission v BT Funds Management Limited </w:t>
      </w:r>
      <w:r w:rsidR="002D6093" w:rsidRPr="005B237A">
        <w:rPr>
          <w:rFonts w:ascii="Times New Roman" w:eastAsia="Calibri" w:hAnsi="Times New Roman" w:cs="Times New Roman"/>
        </w:rPr>
        <w:t>[2021] FCA 844, where ASIC alleged BT and Asgard made false or misleading representations about charges for financial advice services</w:t>
      </w:r>
      <w:r w:rsidR="00942757">
        <w:rPr>
          <w:rFonts w:ascii="Times New Roman" w:eastAsia="Calibri" w:hAnsi="Times New Roman" w:cs="Times New Roman"/>
        </w:rPr>
        <w:t>,</w:t>
      </w:r>
      <w:r w:rsidR="002D6093" w:rsidRPr="005B237A">
        <w:rPr>
          <w:rFonts w:ascii="Times New Roman" w:eastAsia="Calibri" w:hAnsi="Times New Roman" w:cs="Times New Roman"/>
        </w:rPr>
        <w:t xml:space="preserve"> using s 12DB(1)(g) </w:t>
      </w:r>
      <w:r w:rsidR="00942757">
        <w:rPr>
          <w:rFonts w:ascii="Times New Roman" w:eastAsia="Calibri" w:hAnsi="Times New Roman" w:cs="Times New Roman"/>
        </w:rPr>
        <w:t>and</w:t>
      </w:r>
      <w:r w:rsidR="002D6093" w:rsidRPr="005B237A">
        <w:rPr>
          <w:rFonts w:ascii="Times New Roman" w:eastAsia="Calibri" w:hAnsi="Times New Roman" w:cs="Times New Roman"/>
        </w:rPr>
        <w:t xml:space="preserve"> s 12DA(1) of the ASIC Act, s 1041H of the Corporations Act as well as contravention of s 912A(1)(a) of the Corporations Act. </w:t>
      </w:r>
      <w:r w:rsidR="00942757">
        <w:rPr>
          <w:rFonts w:ascii="Times New Roman" w:eastAsia="Calibri" w:hAnsi="Times New Roman" w:cs="Times New Roman"/>
        </w:rPr>
        <w:t>Here, the</w:t>
      </w:r>
      <w:r w:rsidR="00FE1AA9">
        <w:rPr>
          <w:rFonts w:ascii="Times New Roman" w:eastAsia="Calibri" w:hAnsi="Times New Roman" w:cs="Times New Roman"/>
        </w:rPr>
        <w:t xml:space="preserve"> misleading conduct was </w:t>
      </w:r>
      <w:r w:rsidR="002D6093" w:rsidRPr="005B237A">
        <w:rPr>
          <w:rFonts w:ascii="Times New Roman" w:eastAsia="Calibri" w:hAnsi="Times New Roman" w:cs="Times New Roman"/>
        </w:rPr>
        <w:t xml:space="preserve">characterised as </w:t>
      </w:r>
      <w:r w:rsidR="00FE1AA9">
        <w:rPr>
          <w:rFonts w:ascii="Times New Roman" w:eastAsia="Calibri" w:hAnsi="Times New Roman" w:cs="Times New Roman"/>
        </w:rPr>
        <w:t xml:space="preserve">resulting from </w:t>
      </w:r>
      <w:r w:rsidR="002D6093" w:rsidRPr="005B237A">
        <w:rPr>
          <w:rFonts w:ascii="Times New Roman" w:eastAsia="Calibri" w:hAnsi="Times New Roman" w:cs="Times New Roman"/>
        </w:rPr>
        <w:t>‘systems errors’</w:t>
      </w:r>
      <w:r w:rsidR="00942757">
        <w:rPr>
          <w:rFonts w:ascii="Times New Roman" w:eastAsia="Calibri" w:hAnsi="Times New Roman" w:cs="Times New Roman"/>
        </w:rPr>
        <w:t xml:space="preserve"> </w:t>
      </w:r>
      <w:r w:rsidR="002D6093" w:rsidRPr="005B237A">
        <w:rPr>
          <w:rFonts w:ascii="Times New Roman" w:eastAsia="Calibri" w:hAnsi="Times New Roman" w:cs="Times New Roman"/>
        </w:rPr>
        <w:t xml:space="preserve">that were not indicative of intention. If the ‘systems intentionality’ approach were to be more broadly adopted, that kind of analysis might well </w:t>
      </w:r>
      <w:r w:rsidR="00FE1AA9">
        <w:rPr>
          <w:rFonts w:ascii="Times New Roman" w:eastAsia="Calibri" w:hAnsi="Times New Roman" w:cs="Times New Roman"/>
        </w:rPr>
        <w:t>require further consideration</w:t>
      </w:r>
      <w:r w:rsidR="002D6093" w:rsidRPr="005B237A">
        <w:rPr>
          <w:rFonts w:ascii="Times New Roman" w:eastAsia="Calibri" w:hAnsi="Times New Roman" w:cs="Times New Roman"/>
        </w:rPr>
        <w:t>. When</w:t>
      </w:r>
      <w:r w:rsidR="00FE1AA9">
        <w:rPr>
          <w:rFonts w:ascii="Times New Roman" w:eastAsia="Calibri" w:hAnsi="Times New Roman" w:cs="Times New Roman"/>
        </w:rPr>
        <w:t>, for example,</w:t>
      </w:r>
      <w:r w:rsidR="002D6093" w:rsidRPr="005B237A">
        <w:rPr>
          <w:rFonts w:ascii="Times New Roman" w:eastAsia="Calibri" w:hAnsi="Times New Roman" w:cs="Times New Roman"/>
        </w:rPr>
        <w:t xml:space="preserve"> </w:t>
      </w:r>
      <w:r w:rsidR="00942757">
        <w:rPr>
          <w:rFonts w:ascii="Times New Roman" w:eastAsia="Calibri" w:hAnsi="Times New Roman" w:cs="Times New Roman"/>
        </w:rPr>
        <w:t xml:space="preserve">automated </w:t>
      </w:r>
      <w:r w:rsidR="002D6093" w:rsidRPr="005B237A">
        <w:rPr>
          <w:rFonts w:ascii="Times New Roman" w:eastAsia="Calibri" w:hAnsi="Times New Roman" w:cs="Times New Roman"/>
        </w:rPr>
        <w:t xml:space="preserve">systems are set up in such a way prefer profit over compliance, for example defaulting to ‘deduct fee’ even where ongoing authorisation is required, it might be open to understand </w:t>
      </w:r>
      <w:r w:rsidR="00942757">
        <w:rPr>
          <w:rFonts w:ascii="Times New Roman" w:eastAsia="Calibri" w:hAnsi="Times New Roman" w:cs="Times New Roman"/>
        </w:rPr>
        <w:t>such</w:t>
      </w:r>
      <w:r w:rsidR="002D6093" w:rsidRPr="005B237A">
        <w:rPr>
          <w:rFonts w:ascii="Times New Roman" w:eastAsia="Calibri" w:hAnsi="Times New Roman" w:cs="Times New Roman"/>
        </w:rPr>
        <w:t xml:space="preserve"> conduct as reckless and, in some cases dishonest.</w:t>
      </w:r>
      <w:r w:rsidR="00874ECF" w:rsidRPr="005B237A">
        <w:rPr>
          <w:rFonts w:ascii="Times New Roman" w:eastAsia="Calibri" w:hAnsi="Times New Roman" w:cs="Times New Roman"/>
        </w:rPr>
        <w:t xml:space="preserve"> I return to this below.</w:t>
      </w:r>
      <w:r w:rsidR="00A20687">
        <w:rPr>
          <w:rFonts w:ascii="Times New Roman" w:eastAsia="Calibri" w:hAnsi="Times New Roman" w:cs="Times New Roman"/>
        </w:rPr>
        <w:t xml:space="preserve"> </w:t>
      </w:r>
      <w:r w:rsidR="00874ECF" w:rsidRPr="005B237A">
        <w:rPr>
          <w:rFonts w:ascii="Times New Roman" w:eastAsia="Calibri" w:hAnsi="Times New Roman" w:cs="Times New Roman"/>
        </w:rPr>
        <w:t>Wheelahan J was alive to the dangers of the ‘systems error’ argument, stating (at [43]):</w:t>
      </w:r>
    </w:p>
    <w:p w:rsidR="00874ECF" w:rsidRPr="005B237A" w:rsidRDefault="00874ECF" w:rsidP="002538E4">
      <w:pPr>
        <w:spacing w:after="200" w:line="276" w:lineRule="auto"/>
        <w:ind w:left="720"/>
        <w:jc w:val="both"/>
        <w:rPr>
          <w:rFonts w:ascii="Times New Roman" w:eastAsia="Calibri" w:hAnsi="Times New Roman" w:cs="Times New Roman"/>
          <w:sz w:val="20"/>
          <w:szCs w:val="20"/>
        </w:rPr>
      </w:pPr>
      <w:r w:rsidRPr="005B237A">
        <w:rPr>
          <w:rFonts w:ascii="Times New Roman" w:eastAsia="Calibri" w:hAnsi="Times New Roman" w:cs="Times New Roman"/>
          <w:sz w:val="20"/>
          <w:szCs w:val="20"/>
        </w:rPr>
        <w:t>Financial services providers in the position of the defendants should not be able to take the benefits which arise from automated and offshore processes and systems, which it may be inferred contribute to substantial profits, without also undertaking the burden of ensuring that those systems work, and that they promptly identify occasions where they do not. An appropriate penalty should have the effect of deterring the defendants, and financial services providers generally, from maintaining defective systems, and conversely, providing an incentive to establish and maintain systems that are reliable.</w:t>
      </w:r>
    </w:p>
    <w:p w:rsidR="00800C4E" w:rsidRPr="005B237A" w:rsidRDefault="00800C4E" w:rsidP="002538E4">
      <w:pPr>
        <w:spacing w:after="200" w:line="276" w:lineRule="auto"/>
        <w:jc w:val="both"/>
        <w:rPr>
          <w:rFonts w:ascii="Times New Roman" w:eastAsia="Calibri" w:hAnsi="Times New Roman" w:cs="Times New Roman"/>
        </w:rPr>
      </w:pPr>
      <w:r w:rsidRPr="005B237A">
        <w:rPr>
          <w:rFonts w:ascii="Times New Roman" w:eastAsia="Calibri" w:hAnsi="Times New Roman" w:cs="Times New Roman"/>
        </w:rPr>
        <w:t xml:space="preserve">Another good example </w:t>
      </w:r>
      <w:r w:rsidR="00D5627D" w:rsidRPr="005B237A">
        <w:rPr>
          <w:rFonts w:ascii="Times New Roman" w:eastAsia="Calibri" w:hAnsi="Times New Roman" w:cs="Times New Roman"/>
        </w:rPr>
        <w:t xml:space="preserve">of systems of misconduct </w:t>
      </w:r>
      <w:r w:rsidR="00FE1AA9">
        <w:rPr>
          <w:rFonts w:ascii="Times New Roman" w:eastAsia="Calibri" w:hAnsi="Times New Roman" w:cs="Times New Roman"/>
        </w:rPr>
        <w:t xml:space="preserve">that offend the obligation to provide services ‘efficiently, honestly and fairly’ </w:t>
      </w:r>
      <w:r w:rsidRPr="005B237A">
        <w:rPr>
          <w:rFonts w:ascii="Times New Roman" w:eastAsia="Calibri" w:hAnsi="Times New Roman" w:cs="Times New Roman"/>
        </w:rPr>
        <w:t xml:space="preserve">is </w:t>
      </w:r>
      <w:r w:rsidRPr="005B237A">
        <w:rPr>
          <w:rFonts w:ascii="Times New Roman" w:eastAsia="Calibri" w:hAnsi="Times New Roman" w:cs="Times New Roman"/>
          <w:i/>
        </w:rPr>
        <w:t>Australian Securities and Investments Commission v National Australia Bank Limited</w:t>
      </w:r>
      <w:r w:rsidRPr="005B237A">
        <w:rPr>
          <w:rFonts w:ascii="Times New Roman" w:eastAsia="Calibri" w:hAnsi="Times New Roman" w:cs="Times New Roman"/>
        </w:rPr>
        <w:t xml:space="preserve"> [2020] FCA 1494, involving NAB’s ‘Introducer’ program, the subject of much criticism in the Financial Services Royal Commission</w:t>
      </w:r>
      <w:r w:rsidR="00FE1AA9">
        <w:rPr>
          <w:rFonts w:ascii="Times New Roman" w:eastAsia="Calibri" w:hAnsi="Times New Roman" w:cs="Times New Roman"/>
        </w:rPr>
        <w:t xml:space="preserve">. </w:t>
      </w:r>
      <w:r w:rsidR="00942757">
        <w:rPr>
          <w:rFonts w:ascii="Times New Roman" w:eastAsia="Calibri" w:hAnsi="Times New Roman" w:cs="Times New Roman"/>
        </w:rPr>
        <w:t>As Lee J put it</w:t>
      </w:r>
      <w:r w:rsidR="00FE1AA9">
        <w:rPr>
          <w:rFonts w:ascii="Times New Roman" w:eastAsia="Calibri" w:hAnsi="Times New Roman" w:cs="Times New Roman"/>
        </w:rPr>
        <w:t>:</w:t>
      </w:r>
    </w:p>
    <w:p w:rsidR="00800C4E" w:rsidRPr="005B237A" w:rsidRDefault="00800C4E" w:rsidP="002538E4">
      <w:pPr>
        <w:numPr>
          <w:ilvl w:val="0"/>
          <w:numId w:val="6"/>
        </w:numPr>
        <w:tabs>
          <w:tab w:val="clear" w:pos="720"/>
          <w:tab w:val="num" w:pos="1080"/>
        </w:tabs>
        <w:spacing w:after="200" w:line="276" w:lineRule="auto"/>
        <w:ind w:left="1080"/>
        <w:jc w:val="both"/>
        <w:rPr>
          <w:rFonts w:ascii="Times New Roman" w:eastAsia="Calibri" w:hAnsi="Times New Roman" w:cs="Times New Roman"/>
          <w:sz w:val="20"/>
          <w:szCs w:val="20"/>
        </w:rPr>
      </w:pPr>
      <w:r w:rsidRPr="005B237A">
        <w:rPr>
          <w:rFonts w:ascii="Times New Roman" w:eastAsia="Calibri" w:hAnsi="Times New Roman" w:cs="Times New Roman"/>
          <w:sz w:val="20"/>
          <w:szCs w:val="20"/>
        </w:rPr>
        <w:t>A large retail bank put in place a programme whereby unlicensed “Introducers” would “spot” prospective customers and “refer” them to bankers; if the bank then advanced a loan, the Introducers were rewarded by a payment – the bigger the loan, the bigger the reward. There were no uniform processes for selection of the Introducers, no requirement that they have any particular training and no minimum level of due diligence; there was also no relevant formal training for “frontline” bankers, including as to the nature of the information the Introducer could lawfully provide. The programme at times resulted in the bank receiving information and documents about customers from financially interested third parties. At any one time there were hundreds to thousands of these untrained Introducers.</w:t>
      </w:r>
    </w:p>
    <w:p w:rsidR="00800C4E" w:rsidRPr="005B237A" w:rsidRDefault="00800C4E" w:rsidP="002538E4">
      <w:pPr>
        <w:numPr>
          <w:ilvl w:val="0"/>
          <w:numId w:val="7"/>
        </w:numPr>
        <w:tabs>
          <w:tab w:val="clear" w:pos="720"/>
          <w:tab w:val="num" w:pos="1080"/>
        </w:tabs>
        <w:spacing w:after="200" w:line="276" w:lineRule="auto"/>
        <w:ind w:left="1080"/>
        <w:jc w:val="both"/>
        <w:rPr>
          <w:rFonts w:ascii="Times New Roman" w:eastAsia="Calibri" w:hAnsi="Times New Roman" w:cs="Times New Roman"/>
          <w:sz w:val="20"/>
          <w:szCs w:val="20"/>
        </w:rPr>
      </w:pPr>
      <w:r w:rsidRPr="005B237A">
        <w:rPr>
          <w:rFonts w:ascii="Times New Roman" w:eastAsia="Calibri" w:hAnsi="Times New Roman" w:cs="Times New Roman"/>
          <w:sz w:val="20"/>
          <w:szCs w:val="20"/>
        </w:rPr>
        <w:t>What could possibly go wrong?</w:t>
      </w:r>
    </w:p>
    <w:p w:rsidR="00800C4E" w:rsidRPr="005B237A" w:rsidRDefault="00800C4E" w:rsidP="002538E4">
      <w:pPr>
        <w:spacing w:after="200" w:line="276" w:lineRule="auto"/>
        <w:jc w:val="both"/>
        <w:rPr>
          <w:rFonts w:ascii="Times New Roman" w:eastAsia="Calibri" w:hAnsi="Times New Roman" w:cs="Times New Roman"/>
        </w:rPr>
      </w:pPr>
      <w:r w:rsidRPr="005B237A">
        <w:rPr>
          <w:rFonts w:ascii="Times New Roman" w:eastAsia="Calibri" w:hAnsi="Times New Roman" w:cs="Times New Roman"/>
        </w:rPr>
        <w:t>Here, section 47</w:t>
      </w:r>
      <w:r w:rsidR="00D5498F" w:rsidRPr="005B237A">
        <w:rPr>
          <w:rFonts w:ascii="Times New Roman" w:eastAsia="Calibri" w:hAnsi="Times New Roman" w:cs="Times New Roman"/>
        </w:rPr>
        <w:t>(1)(a)</w:t>
      </w:r>
      <w:r w:rsidRPr="005B237A">
        <w:rPr>
          <w:rFonts w:ascii="Times New Roman" w:eastAsia="Calibri" w:hAnsi="Times New Roman" w:cs="Times New Roman"/>
        </w:rPr>
        <w:t xml:space="preserve"> of the National </w:t>
      </w:r>
      <w:r w:rsidR="00D5627D" w:rsidRPr="005B237A">
        <w:rPr>
          <w:rFonts w:ascii="Times New Roman" w:eastAsia="Calibri" w:hAnsi="Times New Roman" w:cs="Times New Roman"/>
        </w:rPr>
        <w:t xml:space="preserve">Consumer </w:t>
      </w:r>
      <w:r w:rsidRPr="005B237A">
        <w:rPr>
          <w:rFonts w:ascii="Times New Roman" w:eastAsia="Calibri" w:hAnsi="Times New Roman" w:cs="Times New Roman"/>
        </w:rPr>
        <w:t xml:space="preserve">Credit </w:t>
      </w:r>
      <w:r w:rsidR="00D5627D" w:rsidRPr="005B237A">
        <w:rPr>
          <w:rFonts w:ascii="Times New Roman" w:eastAsia="Calibri" w:hAnsi="Times New Roman" w:cs="Times New Roman"/>
        </w:rPr>
        <w:t xml:space="preserve">Protection </w:t>
      </w:r>
      <w:r w:rsidRPr="005B237A">
        <w:rPr>
          <w:rFonts w:ascii="Times New Roman" w:eastAsia="Calibri" w:hAnsi="Times New Roman" w:cs="Times New Roman"/>
        </w:rPr>
        <w:t xml:space="preserve">Act contains the equivalent provision of s912A. NAB’s use of unlicenced credit providers contravened </w:t>
      </w:r>
      <w:r w:rsidR="00D5627D" w:rsidRPr="005B237A">
        <w:rPr>
          <w:rFonts w:ascii="Times New Roman" w:eastAsia="Calibri" w:hAnsi="Times New Roman" w:cs="Times New Roman"/>
        </w:rPr>
        <w:t>s</w:t>
      </w:r>
      <w:r w:rsidR="00906424">
        <w:rPr>
          <w:rFonts w:ascii="Times New Roman" w:eastAsia="Calibri" w:hAnsi="Times New Roman" w:cs="Times New Roman"/>
        </w:rPr>
        <w:t xml:space="preserve">ection </w:t>
      </w:r>
      <w:r w:rsidR="00D5627D" w:rsidRPr="005B237A">
        <w:rPr>
          <w:rFonts w:ascii="Times New Roman" w:eastAsia="Calibri" w:hAnsi="Times New Roman" w:cs="Times New Roman"/>
        </w:rPr>
        <w:t>31 (a penalty provision) and NAB’s policies and the terms of the Introducer Agreements</w:t>
      </w:r>
      <w:r w:rsidR="00D5498F" w:rsidRPr="005B237A">
        <w:rPr>
          <w:rFonts w:ascii="Times New Roman" w:eastAsia="Calibri" w:hAnsi="Times New Roman" w:cs="Times New Roman"/>
        </w:rPr>
        <w:t xml:space="preserve"> contravened s</w:t>
      </w:r>
      <w:r w:rsidR="00906424">
        <w:rPr>
          <w:rFonts w:ascii="Times New Roman" w:eastAsia="Calibri" w:hAnsi="Times New Roman" w:cs="Times New Roman"/>
        </w:rPr>
        <w:t xml:space="preserve">ection </w:t>
      </w:r>
      <w:r w:rsidR="00D5498F" w:rsidRPr="005B237A">
        <w:rPr>
          <w:rFonts w:ascii="Times New Roman" w:eastAsia="Calibri" w:hAnsi="Times New Roman" w:cs="Times New Roman"/>
        </w:rPr>
        <w:t>47</w:t>
      </w:r>
    </w:p>
    <w:p w:rsidR="0034772A" w:rsidRPr="005B237A" w:rsidRDefault="0034772A" w:rsidP="002538E4">
      <w:pPr>
        <w:spacing w:after="200" w:line="276" w:lineRule="auto"/>
        <w:jc w:val="both"/>
        <w:rPr>
          <w:rFonts w:ascii="Times New Roman" w:eastAsia="Calibri" w:hAnsi="Times New Roman" w:cs="Times New Roman"/>
        </w:rPr>
      </w:pPr>
      <w:r w:rsidRPr="005B237A">
        <w:rPr>
          <w:rFonts w:ascii="Times New Roman" w:eastAsia="Calibri" w:hAnsi="Times New Roman" w:cs="Times New Roman"/>
        </w:rPr>
        <w:t xml:space="preserve">The provision has been used successfully by ASIC to counter ‘outsourcing’ of services by Financial Services Providers. </w:t>
      </w:r>
      <w:r w:rsidR="00EE4038" w:rsidRPr="005B237A">
        <w:rPr>
          <w:rFonts w:ascii="Times New Roman" w:eastAsia="Calibri" w:hAnsi="Times New Roman" w:cs="Times New Roman"/>
        </w:rPr>
        <w:t xml:space="preserve">This potentially picks up cases where harmful ‘systems of conduct’ have been introduced by third party providers and the defendant has not had audit and reform mechanisms in place to correct the problem. </w:t>
      </w:r>
      <w:r w:rsidRPr="005B237A">
        <w:rPr>
          <w:rFonts w:ascii="Times New Roman" w:eastAsia="Calibri" w:hAnsi="Times New Roman" w:cs="Times New Roman"/>
        </w:rPr>
        <w:t>As Jackson J</w:t>
      </w:r>
      <w:r w:rsidRPr="005B237A">
        <w:rPr>
          <w:rFonts w:ascii="Times New Roman" w:hAnsi="Times New Roman" w:cs="Times New Roman"/>
        </w:rPr>
        <w:t xml:space="preserve"> explained in </w:t>
      </w:r>
      <w:r w:rsidRPr="005B237A">
        <w:rPr>
          <w:rFonts w:ascii="Times New Roman" w:eastAsia="Calibri" w:hAnsi="Times New Roman" w:cs="Times New Roman"/>
          <w:i/>
        </w:rPr>
        <w:t>Australian Securities and Investments Commission v MobiSuper Pty Ltd</w:t>
      </w:r>
      <w:r w:rsidRPr="005B237A">
        <w:rPr>
          <w:rFonts w:ascii="Times New Roman" w:eastAsia="Calibri" w:hAnsi="Times New Roman" w:cs="Times New Roman"/>
        </w:rPr>
        <w:t xml:space="preserve"> [2021] FCA 855 [2]-[3]: ‘what a superannuation trustee cannot outsource is its responsibilities to the present and potential members of its superannuation funds. Depending on the circumstances, it will often be necessary for the trustee to take active steps to make sure that the functions performed on its behalf by others are performed in the best interests of members.’ These may include ‘active monitoring of the third party's performance of its role in the overall structure of the superannuation fund may also be necessary. That is not merely an administrative requirement to ensure compliance. It is a broader obligation to ensure that the services that are provided to members are being provided efficiently, honesty and fairly.’</w:t>
      </w:r>
    </w:p>
    <w:p w:rsidR="00F0522F" w:rsidRPr="005B237A" w:rsidRDefault="00874ECF" w:rsidP="002538E4">
      <w:pPr>
        <w:spacing w:after="200" w:line="276" w:lineRule="auto"/>
        <w:jc w:val="both"/>
        <w:rPr>
          <w:rFonts w:ascii="Times New Roman" w:hAnsi="Times New Roman" w:cs="Times New Roman"/>
        </w:rPr>
      </w:pPr>
      <w:r w:rsidRPr="005B237A">
        <w:rPr>
          <w:rFonts w:ascii="Times New Roman" w:eastAsia="Calibri" w:hAnsi="Times New Roman" w:cs="Times New Roman"/>
        </w:rPr>
        <w:t xml:space="preserve">Finally, </w:t>
      </w:r>
      <w:r w:rsidR="00EF6A84">
        <w:rPr>
          <w:rFonts w:ascii="Times New Roman" w:eastAsia="Calibri" w:hAnsi="Times New Roman" w:cs="Times New Roman"/>
        </w:rPr>
        <w:t xml:space="preserve">although we cannot hope to examine this within the constraints of a short presentation, it is interesting to note that </w:t>
      </w:r>
      <w:r w:rsidRPr="005B237A">
        <w:rPr>
          <w:rFonts w:ascii="Times New Roman" w:eastAsia="Calibri" w:hAnsi="Times New Roman" w:cs="Times New Roman"/>
        </w:rPr>
        <w:t>in</w:t>
      </w:r>
      <w:r w:rsidR="0077237A" w:rsidRPr="005B237A">
        <w:rPr>
          <w:rFonts w:ascii="Times New Roman" w:eastAsia="Calibri" w:hAnsi="Times New Roman" w:cs="Times New Roman"/>
        </w:rPr>
        <w:t xml:space="preserve"> </w:t>
      </w:r>
      <w:r w:rsidR="00F0522F" w:rsidRPr="005B237A">
        <w:rPr>
          <w:rFonts w:ascii="Times New Roman" w:hAnsi="Times New Roman" w:cs="Times New Roman"/>
          <w:i/>
        </w:rPr>
        <w:t>Australian Securities and Investments Commission v Australia and New Zealand Banking Group L</w:t>
      </w:r>
      <w:r w:rsidR="008F42AC" w:rsidRPr="005B237A">
        <w:rPr>
          <w:rFonts w:ascii="Times New Roman" w:hAnsi="Times New Roman" w:cs="Times New Roman"/>
          <w:i/>
        </w:rPr>
        <w:t>td (No 3)</w:t>
      </w:r>
      <w:r w:rsidR="008F42AC" w:rsidRPr="005B237A">
        <w:rPr>
          <w:rFonts w:ascii="Times New Roman" w:hAnsi="Times New Roman" w:cs="Times New Roman"/>
        </w:rPr>
        <w:t xml:space="preserve"> [2020] FCA 1421 [62], Allsop CJ drew a d</w:t>
      </w:r>
      <w:r w:rsidR="0077237A" w:rsidRPr="005B237A">
        <w:rPr>
          <w:rFonts w:ascii="Times New Roman" w:hAnsi="Times New Roman" w:cs="Times New Roman"/>
        </w:rPr>
        <w:t>istinction between a failure to act ‘honestly</w:t>
      </w:r>
      <w:r w:rsidR="008F42AC" w:rsidRPr="005B237A">
        <w:rPr>
          <w:rFonts w:ascii="Times New Roman" w:hAnsi="Times New Roman" w:cs="Times New Roman"/>
        </w:rPr>
        <w:t xml:space="preserve">’ and dishonesty. This seems </w:t>
      </w:r>
      <w:r w:rsidR="00D03D8E" w:rsidRPr="005B237A">
        <w:rPr>
          <w:rFonts w:ascii="Times New Roman" w:hAnsi="Times New Roman" w:cs="Times New Roman"/>
        </w:rPr>
        <w:t xml:space="preserve">to be </w:t>
      </w:r>
      <w:r w:rsidR="00EF6A84">
        <w:rPr>
          <w:rFonts w:ascii="Times New Roman" w:hAnsi="Times New Roman" w:cs="Times New Roman"/>
        </w:rPr>
        <w:t xml:space="preserve">put forward as </w:t>
      </w:r>
      <w:r w:rsidR="008F42AC" w:rsidRPr="005B237A">
        <w:rPr>
          <w:rFonts w:ascii="Times New Roman" w:hAnsi="Times New Roman" w:cs="Times New Roman"/>
        </w:rPr>
        <w:t xml:space="preserve">more than a matter of onus: it suggests some sort of substantive gap between a </w:t>
      </w:r>
      <w:r w:rsidR="00906424">
        <w:rPr>
          <w:rFonts w:ascii="Times New Roman" w:hAnsi="Times New Roman" w:cs="Times New Roman"/>
        </w:rPr>
        <w:t>‘</w:t>
      </w:r>
      <w:r w:rsidR="008F42AC" w:rsidRPr="005B237A">
        <w:rPr>
          <w:rFonts w:ascii="Times New Roman" w:hAnsi="Times New Roman" w:cs="Times New Roman"/>
        </w:rPr>
        <w:t>not-honest</w:t>
      </w:r>
      <w:r w:rsidR="00906424">
        <w:rPr>
          <w:rFonts w:ascii="Times New Roman" w:hAnsi="Times New Roman" w:cs="Times New Roman"/>
        </w:rPr>
        <w:t>’</w:t>
      </w:r>
      <w:r w:rsidR="008F42AC" w:rsidRPr="005B237A">
        <w:rPr>
          <w:rFonts w:ascii="Times New Roman" w:hAnsi="Times New Roman" w:cs="Times New Roman"/>
        </w:rPr>
        <w:t xml:space="preserve"> act and a </w:t>
      </w:r>
      <w:r w:rsidR="00906424">
        <w:rPr>
          <w:rFonts w:ascii="Times New Roman" w:hAnsi="Times New Roman" w:cs="Times New Roman"/>
        </w:rPr>
        <w:t>‘</w:t>
      </w:r>
      <w:r w:rsidR="008F42AC" w:rsidRPr="005B237A">
        <w:rPr>
          <w:rFonts w:ascii="Times New Roman" w:hAnsi="Times New Roman" w:cs="Times New Roman"/>
        </w:rPr>
        <w:t>dishonest</w:t>
      </w:r>
      <w:r w:rsidR="00906424">
        <w:rPr>
          <w:rFonts w:ascii="Times New Roman" w:hAnsi="Times New Roman" w:cs="Times New Roman"/>
        </w:rPr>
        <w:t>’</w:t>
      </w:r>
      <w:r w:rsidR="008F42AC" w:rsidRPr="005B237A">
        <w:rPr>
          <w:rFonts w:ascii="Times New Roman" w:hAnsi="Times New Roman" w:cs="Times New Roman"/>
        </w:rPr>
        <w:t xml:space="preserve"> one. </w:t>
      </w:r>
      <w:r w:rsidR="00906424">
        <w:rPr>
          <w:rFonts w:ascii="Times New Roman" w:hAnsi="Times New Roman" w:cs="Times New Roman"/>
        </w:rPr>
        <w:t>This seems a difficult distinction. I also n</w:t>
      </w:r>
      <w:r w:rsidR="00D03D8E" w:rsidRPr="005B237A">
        <w:rPr>
          <w:rFonts w:ascii="Times New Roman" w:hAnsi="Times New Roman" w:cs="Times New Roman"/>
        </w:rPr>
        <w:t xml:space="preserve">ote the recent statement in </w:t>
      </w:r>
      <w:r w:rsidR="00D03D8E" w:rsidRPr="005B237A">
        <w:rPr>
          <w:rFonts w:ascii="Times New Roman" w:hAnsi="Times New Roman" w:cs="Times New Roman"/>
          <w:i/>
        </w:rPr>
        <w:t>MLC Nominees</w:t>
      </w:r>
      <w:r w:rsidR="00D03D8E" w:rsidRPr="005B237A">
        <w:rPr>
          <w:rFonts w:ascii="Times New Roman" w:hAnsi="Times New Roman" w:cs="Times New Roman"/>
        </w:rPr>
        <w:t xml:space="preserve"> [51] that dishonesty ‘does not rely on any proof or finding of intent’ and is wholly determined by reference to objective circumstances.</w:t>
      </w:r>
      <w:r w:rsidR="00D5498F" w:rsidRPr="005B237A">
        <w:rPr>
          <w:rFonts w:ascii="Times New Roman" w:hAnsi="Times New Roman" w:cs="Times New Roman"/>
        </w:rPr>
        <w:t xml:space="preserve"> </w:t>
      </w:r>
      <w:r w:rsidR="00906424">
        <w:rPr>
          <w:rFonts w:ascii="Times New Roman" w:hAnsi="Times New Roman" w:cs="Times New Roman"/>
        </w:rPr>
        <w:t xml:space="preserve">If that is correct, it would be a marked departure from the approach taken to ‘dishonesty’ by the High Court of Australia, discussed above. </w:t>
      </w:r>
      <w:r w:rsidR="00D5498F" w:rsidRPr="005B237A">
        <w:rPr>
          <w:rFonts w:ascii="Times New Roman" w:hAnsi="Times New Roman" w:cs="Times New Roman"/>
        </w:rPr>
        <w:t>We have yet to see whether this marks the</w:t>
      </w:r>
      <w:r w:rsidR="00784C84">
        <w:rPr>
          <w:rFonts w:ascii="Times New Roman" w:hAnsi="Times New Roman" w:cs="Times New Roman"/>
        </w:rPr>
        <w:t xml:space="preserve"> start of a novel</w:t>
      </w:r>
      <w:r w:rsidR="00D5498F" w:rsidRPr="005B237A">
        <w:rPr>
          <w:rFonts w:ascii="Times New Roman" w:hAnsi="Times New Roman" w:cs="Times New Roman"/>
        </w:rPr>
        <w:t xml:space="preserve"> application of a wholly objective standard</w:t>
      </w:r>
      <w:r w:rsidR="00784C84">
        <w:rPr>
          <w:rFonts w:ascii="Times New Roman" w:hAnsi="Times New Roman" w:cs="Times New Roman"/>
        </w:rPr>
        <w:t xml:space="preserve"> of ‘honesty’</w:t>
      </w:r>
      <w:r w:rsidR="00887949">
        <w:rPr>
          <w:rFonts w:ascii="Times New Roman" w:hAnsi="Times New Roman" w:cs="Times New Roman"/>
        </w:rPr>
        <w:t>,</w:t>
      </w:r>
      <w:r w:rsidR="00D5498F" w:rsidRPr="005B237A">
        <w:rPr>
          <w:rFonts w:ascii="Times New Roman" w:hAnsi="Times New Roman" w:cs="Times New Roman"/>
        </w:rPr>
        <w:t xml:space="preserve"> similar to misleading conduct. </w:t>
      </w:r>
      <w:r w:rsidR="00784C84">
        <w:rPr>
          <w:rFonts w:ascii="Times New Roman" w:hAnsi="Times New Roman" w:cs="Times New Roman"/>
        </w:rPr>
        <w:t>While this cannot be explored here, I observe that, i</w:t>
      </w:r>
      <w:r w:rsidR="00D5498F" w:rsidRPr="005B237A">
        <w:rPr>
          <w:rFonts w:ascii="Times New Roman" w:hAnsi="Times New Roman" w:cs="Times New Roman"/>
        </w:rPr>
        <w:t>n any event, corporate mental states will continue to be relevant at the penalty stage,</w:t>
      </w:r>
      <w:r w:rsidR="00784C84">
        <w:rPr>
          <w:rFonts w:ascii="Times New Roman" w:hAnsi="Times New Roman" w:cs="Times New Roman"/>
        </w:rPr>
        <w:t xml:space="preserve"> even on a wholly objective approach. This is because the</w:t>
      </w:r>
      <w:r w:rsidR="00D5498F" w:rsidRPr="005B237A">
        <w:rPr>
          <w:rFonts w:ascii="Times New Roman" w:hAnsi="Times New Roman" w:cs="Times New Roman"/>
        </w:rPr>
        <w:t xml:space="preserve"> ‘French factors’ </w:t>
      </w:r>
      <w:r w:rsidR="00784C84">
        <w:rPr>
          <w:rFonts w:ascii="Times New Roman" w:hAnsi="Times New Roman" w:cs="Times New Roman"/>
        </w:rPr>
        <w:t xml:space="preserve">that inform courts’ setting of penalties include criteria </w:t>
      </w:r>
      <w:r w:rsidR="00D5498F" w:rsidRPr="005B237A">
        <w:rPr>
          <w:rFonts w:ascii="Times New Roman" w:hAnsi="Times New Roman" w:cs="Times New Roman"/>
        </w:rPr>
        <w:t xml:space="preserve">such as </w:t>
      </w:r>
      <w:r w:rsidR="00784C84">
        <w:rPr>
          <w:rFonts w:ascii="Times New Roman" w:hAnsi="Times New Roman" w:cs="Times New Roman"/>
        </w:rPr>
        <w:t xml:space="preserve">the defendant’s </w:t>
      </w:r>
      <w:r w:rsidR="00D5498F" w:rsidRPr="005B237A">
        <w:rPr>
          <w:rFonts w:ascii="Times New Roman" w:eastAsia="Calibri" w:hAnsi="Times New Roman" w:cs="Times New Roman"/>
          <w:lang w:val="en-US"/>
        </w:rPr>
        <w:t>knowledge, intention, regret or contrition.</w:t>
      </w:r>
      <w:r w:rsidR="00D5498F" w:rsidRPr="005B237A">
        <w:rPr>
          <w:rFonts w:ascii="Times New Roman" w:hAnsi="Times New Roman" w:cs="Times New Roman"/>
        </w:rPr>
        <w:t xml:space="preserve"> </w:t>
      </w:r>
    </w:p>
    <w:p w:rsidR="00D5498F" w:rsidRPr="005B237A" w:rsidRDefault="00D5498F" w:rsidP="002538E4">
      <w:pPr>
        <w:pStyle w:val="ListParagraph"/>
        <w:numPr>
          <w:ilvl w:val="0"/>
          <w:numId w:val="3"/>
        </w:numPr>
        <w:spacing w:after="200" w:line="276" w:lineRule="auto"/>
        <w:jc w:val="both"/>
        <w:rPr>
          <w:rFonts w:ascii="Times New Roman" w:hAnsi="Times New Roman" w:cs="Times New Roman"/>
          <w:b/>
          <w:sz w:val="24"/>
          <w:szCs w:val="24"/>
        </w:rPr>
      </w:pPr>
      <w:r w:rsidRPr="005B237A">
        <w:rPr>
          <w:rFonts w:ascii="Times New Roman" w:hAnsi="Times New Roman" w:cs="Times New Roman"/>
          <w:b/>
          <w:sz w:val="24"/>
          <w:szCs w:val="24"/>
        </w:rPr>
        <w:t>Case study: AMP and charging fees to dead people.</w:t>
      </w:r>
    </w:p>
    <w:p w:rsidR="008351B8" w:rsidRPr="005B237A" w:rsidRDefault="00784C84" w:rsidP="002538E4">
      <w:pPr>
        <w:spacing w:after="200" w:line="276" w:lineRule="auto"/>
        <w:jc w:val="both"/>
        <w:rPr>
          <w:rFonts w:ascii="Times New Roman" w:eastAsia="Calibri" w:hAnsi="Times New Roman" w:cs="Times New Roman"/>
        </w:rPr>
      </w:pPr>
      <w:r>
        <w:rPr>
          <w:rFonts w:ascii="Times New Roman" w:eastAsia="Calibri" w:hAnsi="Times New Roman" w:cs="Times New Roman"/>
        </w:rPr>
        <w:t xml:space="preserve">Drawing these strands together, it is worthwhile considering these developments against a topical case study. </w:t>
      </w:r>
      <w:r w:rsidR="008351B8" w:rsidRPr="005B237A">
        <w:rPr>
          <w:rFonts w:ascii="Times New Roman" w:eastAsia="Calibri" w:hAnsi="Times New Roman" w:cs="Times New Roman"/>
        </w:rPr>
        <w:t xml:space="preserve">ASIC </w:t>
      </w:r>
      <w:r>
        <w:rPr>
          <w:rFonts w:ascii="Times New Roman" w:eastAsia="Calibri" w:hAnsi="Times New Roman" w:cs="Times New Roman"/>
        </w:rPr>
        <w:t>has recently brought proceedings alleging</w:t>
      </w:r>
      <w:r w:rsidR="008351B8" w:rsidRPr="005B237A">
        <w:rPr>
          <w:rFonts w:ascii="Times New Roman" w:eastAsia="Calibri" w:hAnsi="Times New Roman" w:cs="Times New Roman"/>
        </w:rPr>
        <w:t xml:space="preserve"> that for over four years, from 2015 to 2019, AMP </w:t>
      </w:r>
      <w:r w:rsidR="00FE1AA9">
        <w:rPr>
          <w:rFonts w:ascii="Times New Roman" w:eastAsia="Calibri" w:hAnsi="Times New Roman" w:cs="Times New Roman"/>
        </w:rPr>
        <w:t xml:space="preserve">group companies (collectively, ‘AMP’) </w:t>
      </w:r>
      <w:r w:rsidR="008351B8" w:rsidRPr="005B237A">
        <w:rPr>
          <w:rFonts w:ascii="Times New Roman" w:eastAsia="Calibri" w:hAnsi="Times New Roman" w:cs="Times New Roman"/>
        </w:rPr>
        <w:t xml:space="preserve">charged dead people life insurance fees and fees for financial advice when it had no right to do so. </w:t>
      </w:r>
      <w:r w:rsidR="00FE1AA9">
        <w:rPr>
          <w:rFonts w:ascii="Times New Roman" w:eastAsia="Calibri" w:hAnsi="Times New Roman" w:cs="Times New Roman"/>
        </w:rPr>
        <w:t xml:space="preserve">Among other claims, </w:t>
      </w:r>
      <w:r w:rsidR="008351B8" w:rsidRPr="005B237A">
        <w:rPr>
          <w:rFonts w:ascii="Times New Roman" w:eastAsia="Calibri" w:hAnsi="Times New Roman" w:cs="Times New Roman"/>
        </w:rPr>
        <w:t xml:space="preserve">ASIC says that, through this behaviour, AMP contravened its statutory obligations to act ‘efficiently, honestly and fairly’ under s912A Corporations Act, and engaged in unconscionable ‘systems of conduct and patterns of behaviour’ under s12CB ASIC Act. </w:t>
      </w:r>
    </w:p>
    <w:p w:rsidR="00784C84" w:rsidRDefault="008351B8" w:rsidP="002538E4">
      <w:pPr>
        <w:spacing w:after="200" w:line="276" w:lineRule="auto"/>
        <w:jc w:val="both"/>
        <w:rPr>
          <w:rFonts w:ascii="Times New Roman" w:eastAsia="Calibri" w:hAnsi="Times New Roman" w:cs="Times New Roman"/>
        </w:rPr>
      </w:pPr>
      <w:r w:rsidRPr="005B237A">
        <w:rPr>
          <w:rFonts w:ascii="Times New Roman" w:eastAsia="Calibri" w:hAnsi="Times New Roman" w:cs="Times New Roman"/>
        </w:rPr>
        <w:t>From a ‘systems intentionality’</w:t>
      </w:r>
      <w:r w:rsidR="00FE1AA9">
        <w:rPr>
          <w:rFonts w:ascii="Times New Roman" w:eastAsia="Calibri" w:hAnsi="Times New Roman" w:cs="Times New Roman"/>
        </w:rPr>
        <w:t xml:space="preserve"> perspective</w:t>
      </w:r>
      <w:r w:rsidR="00887949">
        <w:rPr>
          <w:rFonts w:ascii="Times New Roman" w:eastAsia="Calibri" w:hAnsi="Times New Roman" w:cs="Times New Roman"/>
        </w:rPr>
        <w:t xml:space="preserve"> (which, we recall, is consistent with the ‘unconscionable systems of conduct’ authorities)</w:t>
      </w:r>
      <w:r w:rsidRPr="005B237A">
        <w:rPr>
          <w:rFonts w:ascii="Times New Roman" w:eastAsia="Calibri" w:hAnsi="Times New Roman" w:cs="Times New Roman"/>
        </w:rPr>
        <w:t xml:space="preserve">, the conduct </w:t>
      </w:r>
      <w:r w:rsidR="00784C84">
        <w:rPr>
          <w:rFonts w:ascii="Times New Roman" w:eastAsia="Calibri" w:hAnsi="Times New Roman" w:cs="Times New Roman"/>
        </w:rPr>
        <w:t xml:space="preserve">arguably </w:t>
      </w:r>
      <w:r w:rsidRPr="005B237A">
        <w:rPr>
          <w:rFonts w:ascii="Times New Roman" w:eastAsia="Calibri" w:hAnsi="Times New Roman" w:cs="Times New Roman"/>
        </w:rPr>
        <w:t xml:space="preserve">shows high levels of knowledge and culpability. </w:t>
      </w:r>
    </w:p>
    <w:p w:rsidR="00784C84" w:rsidRDefault="00784C84" w:rsidP="002538E4">
      <w:pPr>
        <w:spacing w:after="200" w:line="276" w:lineRule="auto"/>
        <w:jc w:val="both"/>
        <w:rPr>
          <w:rFonts w:ascii="Times New Roman" w:eastAsia="Calibri" w:hAnsi="Times New Roman" w:cs="Times New Roman"/>
        </w:rPr>
      </w:pPr>
      <w:r>
        <w:rPr>
          <w:rFonts w:ascii="Times New Roman" w:eastAsia="Calibri" w:hAnsi="Times New Roman" w:cs="Times New Roman"/>
        </w:rPr>
        <w:t xml:space="preserve">On the proposed model, systems </w:t>
      </w:r>
      <w:r w:rsidR="00A20687">
        <w:rPr>
          <w:rFonts w:ascii="Times New Roman" w:eastAsia="Calibri" w:hAnsi="Times New Roman" w:cs="Times New Roman"/>
        </w:rPr>
        <w:t xml:space="preserve">are inherently purposive. </w:t>
      </w:r>
      <w:r w:rsidR="005B237A" w:rsidRPr="005B237A">
        <w:rPr>
          <w:rFonts w:ascii="Times New Roman" w:eastAsia="Calibri" w:hAnsi="Times New Roman" w:cs="Times New Roman"/>
        </w:rPr>
        <w:t xml:space="preserve">As designed, </w:t>
      </w:r>
      <w:r w:rsidR="00942757">
        <w:rPr>
          <w:rFonts w:ascii="Times New Roman" w:eastAsia="Calibri" w:hAnsi="Times New Roman" w:cs="Times New Roman"/>
        </w:rPr>
        <w:t>AMP’s</w:t>
      </w:r>
      <w:r w:rsidR="005B237A" w:rsidRPr="005B237A">
        <w:rPr>
          <w:rFonts w:ascii="Times New Roman" w:eastAsia="Calibri" w:hAnsi="Times New Roman" w:cs="Times New Roman"/>
        </w:rPr>
        <w:t xml:space="preserve"> </w:t>
      </w:r>
      <w:r w:rsidR="00FE51DF">
        <w:rPr>
          <w:rFonts w:ascii="Times New Roman" w:eastAsia="Calibri" w:hAnsi="Times New Roman" w:cs="Times New Roman"/>
        </w:rPr>
        <w:t xml:space="preserve">fee deduction </w:t>
      </w:r>
      <w:r w:rsidR="005B237A" w:rsidRPr="005B237A">
        <w:rPr>
          <w:rFonts w:ascii="Times New Roman" w:eastAsia="Calibri" w:hAnsi="Times New Roman" w:cs="Times New Roman"/>
        </w:rPr>
        <w:t xml:space="preserve">systems were guaranteed to result in unlawful fee deductions. </w:t>
      </w:r>
      <w:r w:rsidR="00FE51DF">
        <w:rPr>
          <w:rFonts w:ascii="Times New Roman" w:eastAsia="Calibri" w:hAnsi="Times New Roman" w:cs="Times New Roman"/>
        </w:rPr>
        <w:t>This is not only because proper monitoring and corrective mechanisms were not in place, but because the default setting</w:t>
      </w:r>
      <w:r w:rsidR="00AA3800">
        <w:rPr>
          <w:rFonts w:ascii="Times New Roman" w:eastAsia="Calibri" w:hAnsi="Times New Roman" w:cs="Times New Roman"/>
        </w:rPr>
        <w:t xml:space="preserve">s of these systems </w:t>
      </w:r>
      <w:r w:rsidR="00FE51DF">
        <w:rPr>
          <w:rFonts w:ascii="Times New Roman" w:eastAsia="Calibri" w:hAnsi="Times New Roman" w:cs="Times New Roman"/>
        </w:rPr>
        <w:t xml:space="preserve">was to deduct fees, rather than to deduct fees </w:t>
      </w:r>
      <w:r w:rsidR="00FE51DF" w:rsidRPr="00FE51DF">
        <w:rPr>
          <w:rFonts w:ascii="Times New Roman" w:eastAsia="Calibri" w:hAnsi="Times New Roman" w:cs="Times New Roman"/>
          <w:i/>
        </w:rPr>
        <w:t>only where the circumstances authorising their deduction were satisfied</w:t>
      </w:r>
      <w:r w:rsidR="00FE51DF">
        <w:rPr>
          <w:rFonts w:ascii="Times New Roman" w:eastAsia="Calibri" w:hAnsi="Times New Roman" w:cs="Times New Roman"/>
        </w:rPr>
        <w:t>. Given the nature of the product</w:t>
      </w:r>
      <w:r w:rsidR="00AA3800">
        <w:rPr>
          <w:rFonts w:ascii="Times New Roman" w:eastAsia="Calibri" w:hAnsi="Times New Roman" w:cs="Times New Roman"/>
        </w:rPr>
        <w:t>s (life insurance and financial advice)</w:t>
      </w:r>
      <w:r w:rsidR="00FE51DF">
        <w:rPr>
          <w:rFonts w:ascii="Times New Roman" w:eastAsia="Calibri" w:hAnsi="Times New Roman" w:cs="Times New Roman"/>
        </w:rPr>
        <w:t xml:space="preserve">, it was inevitable that </w:t>
      </w:r>
      <w:r w:rsidR="00AA3800">
        <w:rPr>
          <w:rFonts w:ascii="Times New Roman" w:eastAsia="Calibri" w:hAnsi="Times New Roman" w:cs="Times New Roman"/>
        </w:rPr>
        <w:t>the conditions justifying fees would change and require active review. Viewed in this light, the architecture of the system reveals AMP’s design choices.</w:t>
      </w:r>
      <w:r w:rsidR="00FE51DF">
        <w:rPr>
          <w:rFonts w:ascii="Times New Roman" w:eastAsia="Calibri" w:hAnsi="Times New Roman" w:cs="Times New Roman"/>
        </w:rPr>
        <w:t xml:space="preserve"> </w:t>
      </w:r>
      <w:r w:rsidR="005B237A" w:rsidRPr="005B237A">
        <w:rPr>
          <w:rFonts w:ascii="Times New Roman" w:eastAsia="Calibri" w:hAnsi="Times New Roman" w:cs="Times New Roman"/>
        </w:rPr>
        <w:t xml:space="preserve">This </w:t>
      </w:r>
      <w:r w:rsidR="006D6F1D">
        <w:rPr>
          <w:rFonts w:ascii="Times New Roman" w:eastAsia="Calibri" w:hAnsi="Times New Roman" w:cs="Times New Roman"/>
        </w:rPr>
        <w:t xml:space="preserve">analysis </w:t>
      </w:r>
      <w:r>
        <w:rPr>
          <w:rFonts w:ascii="Times New Roman" w:eastAsia="Calibri" w:hAnsi="Times New Roman" w:cs="Times New Roman"/>
        </w:rPr>
        <w:t>would put pressure on any</w:t>
      </w:r>
      <w:r w:rsidR="006D6F1D">
        <w:rPr>
          <w:rFonts w:ascii="Times New Roman" w:eastAsia="Calibri" w:hAnsi="Times New Roman" w:cs="Times New Roman"/>
        </w:rPr>
        <w:t xml:space="preserve"> plea, on the part of AMP, that the misconduct arose through</w:t>
      </w:r>
      <w:r w:rsidR="005B237A" w:rsidRPr="005B237A">
        <w:rPr>
          <w:rFonts w:ascii="Times New Roman" w:eastAsia="Calibri" w:hAnsi="Times New Roman" w:cs="Times New Roman"/>
        </w:rPr>
        <w:t xml:space="preserve"> ‘systems errors’. </w:t>
      </w:r>
      <w:r>
        <w:rPr>
          <w:rFonts w:ascii="Times New Roman" w:eastAsia="Calibri" w:hAnsi="Times New Roman" w:cs="Times New Roman"/>
        </w:rPr>
        <w:t>Indeed, f</w:t>
      </w:r>
      <w:r w:rsidR="005B237A" w:rsidRPr="005B237A">
        <w:rPr>
          <w:rFonts w:ascii="Times New Roman" w:eastAsia="Calibri" w:hAnsi="Times New Roman" w:cs="Times New Roman"/>
        </w:rPr>
        <w:t xml:space="preserve">ar from being accidental, the fee systems </w:t>
      </w:r>
      <w:r>
        <w:rPr>
          <w:rFonts w:ascii="Times New Roman" w:eastAsia="Calibri" w:hAnsi="Times New Roman" w:cs="Times New Roman"/>
        </w:rPr>
        <w:t xml:space="preserve">arguably </w:t>
      </w:r>
      <w:r w:rsidR="005B237A" w:rsidRPr="005B237A">
        <w:rPr>
          <w:rFonts w:ascii="Times New Roman" w:eastAsia="Calibri" w:hAnsi="Times New Roman" w:cs="Times New Roman"/>
        </w:rPr>
        <w:t xml:space="preserve">were working perfectly as designed. </w:t>
      </w:r>
    </w:p>
    <w:p w:rsidR="008351B8" w:rsidRPr="005B237A" w:rsidRDefault="00784C84" w:rsidP="002538E4">
      <w:pPr>
        <w:spacing w:after="200" w:line="276" w:lineRule="auto"/>
        <w:jc w:val="both"/>
        <w:rPr>
          <w:rFonts w:ascii="Times New Roman" w:eastAsia="Calibri" w:hAnsi="Times New Roman" w:cs="Times New Roman"/>
        </w:rPr>
      </w:pPr>
      <w:r>
        <w:rPr>
          <w:rFonts w:ascii="Times New Roman" w:eastAsia="Calibri" w:hAnsi="Times New Roman" w:cs="Times New Roman"/>
        </w:rPr>
        <w:t xml:space="preserve">Further, </w:t>
      </w:r>
      <w:r w:rsidR="005B237A" w:rsidRPr="005B237A">
        <w:rPr>
          <w:rFonts w:ascii="Times New Roman" w:eastAsia="Calibri" w:hAnsi="Times New Roman" w:cs="Times New Roman"/>
        </w:rPr>
        <w:t xml:space="preserve">the level and nature of </w:t>
      </w:r>
      <w:r w:rsidR="00942757">
        <w:rPr>
          <w:rFonts w:ascii="Times New Roman" w:eastAsia="Calibri" w:hAnsi="Times New Roman" w:cs="Times New Roman"/>
        </w:rPr>
        <w:t xml:space="preserve">AMP’s </w:t>
      </w:r>
      <w:r w:rsidR="005B237A" w:rsidRPr="005B237A">
        <w:rPr>
          <w:rFonts w:ascii="Times New Roman" w:eastAsia="Calibri" w:hAnsi="Times New Roman" w:cs="Times New Roman"/>
        </w:rPr>
        <w:t>knowledge can readily be inferred from the nature of the system. At its simplest,</w:t>
      </w:r>
      <w:r w:rsidR="008351B8" w:rsidRPr="005B237A">
        <w:rPr>
          <w:rFonts w:ascii="Times New Roman" w:eastAsia="Calibri" w:hAnsi="Times New Roman" w:cs="Times New Roman"/>
        </w:rPr>
        <w:t xml:space="preserve"> AMP was charging insurance and advice fees for </w:t>
      </w:r>
      <w:r w:rsidR="008351B8" w:rsidRPr="005B237A">
        <w:rPr>
          <w:rFonts w:ascii="Times New Roman" w:eastAsia="Calibri" w:hAnsi="Times New Roman" w:cs="Times New Roman"/>
          <w:i/>
        </w:rPr>
        <w:t>human</w:t>
      </w:r>
      <w:r w:rsidR="008351B8" w:rsidRPr="005B237A">
        <w:rPr>
          <w:rFonts w:ascii="Times New Roman" w:eastAsia="Calibri" w:hAnsi="Times New Roman" w:cs="Times New Roman"/>
        </w:rPr>
        <w:t xml:space="preserve"> clients. Humans’ circumstances </w:t>
      </w:r>
      <w:r w:rsidR="005B237A" w:rsidRPr="005B237A">
        <w:rPr>
          <w:rFonts w:ascii="Times New Roman" w:eastAsia="Calibri" w:hAnsi="Times New Roman" w:cs="Times New Roman"/>
        </w:rPr>
        <w:t>change:</w:t>
      </w:r>
      <w:r w:rsidR="008351B8" w:rsidRPr="005B237A">
        <w:rPr>
          <w:rFonts w:ascii="Times New Roman" w:eastAsia="Calibri" w:hAnsi="Times New Roman" w:cs="Times New Roman"/>
        </w:rPr>
        <w:t xml:space="preserve"> AMP must be taken to know this. </w:t>
      </w:r>
      <w:r w:rsidR="005B237A" w:rsidRPr="005B237A">
        <w:rPr>
          <w:rFonts w:ascii="Times New Roman" w:eastAsia="Calibri" w:hAnsi="Times New Roman" w:cs="Times New Roman"/>
        </w:rPr>
        <w:t>This is</w:t>
      </w:r>
      <w:r w:rsidR="008351B8" w:rsidRPr="005B237A">
        <w:rPr>
          <w:rFonts w:ascii="Times New Roman" w:eastAsia="Calibri" w:hAnsi="Times New Roman" w:cs="Times New Roman"/>
        </w:rPr>
        <w:t xml:space="preserve"> why clients take up life insurance and periodically require new financial advice. And clients die. When they do, AMP would clearly, evidently and inevitably have no right to charge insurance premiums or for advice that could never be received. AMP must </w:t>
      </w:r>
      <w:r w:rsidR="005B237A" w:rsidRPr="005B237A">
        <w:rPr>
          <w:rFonts w:ascii="Times New Roman" w:eastAsia="Calibri" w:hAnsi="Times New Roman" w:cs="Times New Roman"/>
        </w:rPr>
        <w:t xml:space="preserve">also </w:t>
      </w:r>
      <w:r w:rsidR="008351B8" w:rsidRPr="005B237A">
        <w:rPr>
          <w:rFonts w:ascii="Times New Roman" w:eastAsia="Calibri" w:hAnsi="Times New Roman" w:cs="Times New Roman"/>
        </w:rPr>
        <w:t>be taken to understand this. It is, after all, an expert in the field with decades of experience behind it.</w:t>
      </w:r>
    </w:p>
    <w:p w:rsidR="008351B8" w:rsidRPr="005B237A" w:rsidRDefault="00784C84" w:rsidP="002538E4">
      <w:pPr>
        <w:spacing w:after="200" w:line="276" w:lineRule="auto"/>
        <w:jc w:val="both"/>
        <w:rPr>
          <w:rFonts w:ascii="Times New Roman" w:eastAsia="Calibri" w:hAnsi="Times New Roman" w:cs="Times New Roman"/>
        </w:rPr>
      </w:pPr>
      <w:r>
        <w:rPr>
          <w:rFonts w:ascii="Times New Roman" w:eastAsia="Calibri" w:hAnsi="Times New Roman" w:cs="Times New Roman"/>
        </w:rPr>
        <w:t>An exacerbating element</w:t>
      </w:r>
      <w:r w:rsidR="008351B8" w:rsidRPr="005B237A">
        <w:rPr>
          <w:rFonts w:ascii="Times New Roman" w:eastAsia="Calibri" w:hAnsi="Times New Roman" w:cs="Times New Roman"/>
        </w:rPr>
        <w:t>, as ASIC notes</w:t>
      </w:r>
      <w:r>
        <w:rPr>
          <w:rFonts w:ascii="Times New Roman" w:eastAsia="Calibri" w:hAnsi="Times New Roman" w:cs="Times New Roman"/>
        </w:rPr>
        <w:t xml:space="preserve"> in its concise statement</w:t>
      </w:r>
      <w:r w:rsidR="008351B8" w:rsidRPr="005B237A">
        <w:rPr>
          <w:rFonts w:ascii="Times New Roman" w:eastAsia="Calibri" w:hAnsi="Times New Roman" w:cs="Times New Roman"/>
        </w:rPr>
        <w:t xml:space="preserve">, </w:t>
      </w:r>
      <w:r>
        <w:rPr>
          <w:rFonts w:ascii="Times New Roman" w:eastAsia="Calibri" w:hAnsi="Times New Roman" w:cs="Times New Roman"/>
        </w:rPr>
        <w:t xml:space="preserve">is that </w:t>
      </w:r>
      <w:r w:rsidR="008351B8" w:rsidRPr="005B237A">
        <w:rPr>
          <w:rFonts w:ascii="Times New Roman" w:eastAsia="Calibri" w:hAnsi="Times New Roman" w:cs="Times New Roman"/>
        </w:rPr>
        <w:t>AMP’s dead clients could hardly complain</w:t>
      </w:r>
      <w:r w:rsidR="00CF0AFF">
        <w:rPr>
          <w:rFonts w:ascii="Times New Roman" w:eastAsia="Calibri" w:hAnsi="Times New Roman" w:cs="Times New Roman"/>
        </w:rPr>
        <w:t xml:space="preserve"> of the misconduct</w:t>
      </w:r>
      <w:r w:rsidR="008351B8" w:rsidRPr="005B237A">
        <w:rPr>
          <w:rFonts w:ascii="Times New Roman" w:eastAsia="Calibri" w:hAnsi="Times New Roman" w:cs="Times New Roman"/>
        </w:rPr>
        <w:t xml:space="preserve"> and their representatives would likely be suffering from distress as they tried to untangle the deceased person’s affairs. So they were all wholly reliant on AMP having some ‘monitoring policy or system in place to prevent and/or monitor deductions of premiums and advice fees from deceased members’ accounts.’  Or, at the very least, having some sort of system in place to fix the inevitable errors when they arose. Again, AMP must be taken to understand this. Yet it </w:t>
      </w:r>
      <w:r w:rsidR="00AA3800">
        <w:rPr>
          <w:rFonts w:ascii="Times New Roman" w:eastAsia="Calibri" w:hAnsi="Times New Roman" w:cs="Times New Roman"/>
        </w:rPr>
        <w:t>appears that it took</w:t>
      </w:r>
      <w:r w:rsidR="008351B8" w:rsidRPr="005B237A">
        <w:rPr>
          <w:rFonts w:ascii="Times New Roman" w:eastAsia="Calibri" w:hAnsi="Times New Roman" w:cs="Times New Roman"/>
        </w:rPr>
        <w:t xml:space="preserve"> years and </w:t>
      </w:r>
      <w:r w:rsidR="00AA3800">
        <w:rPr>
          <w:rFonts w:ascii="Times New Roman" w:eastAsia="Calibri" w:hAnsi="Times New Roman" w:cs="Times New Roman"/>
        </w:rPr>
        <w:t>multiple</w:t>
      </w:r>
      <w:r w:rsidR="008351B8" w:rsidRPr="005B237A">
        <w:rPr>
          <w:rFonts w:ascii="Times New Roman" w:eastAsia="Calibri" w:hAnsi="Times New Roman" w:cs="Times New Roman"/>
        </w:rPr>
        <w:t xml:space="preserve"> complaints for AMP to respond to the problem.</w:t>
      </w:r>
      <w:r w:rsidR="00A20687">
        <w:rPr>
          <w:rFonts w:ascii="Times New Roman" w:eastAsia="Calibri" w:hAnsi="Times New Roman" w:cs="Times New Roman"/>
        </w:rPr>
        <w:t xml:space="preserve"> And there were no, or no functioning, audit and remedial mechanisms to correct the inevitable consequence of the adopted system.</w:t>
      </w:r>
    </w:p>
    <w:p w:rsidR="008351B8" w:rsidRPr="005B237A" w:rsidRDefault="00942757" w:rsidP="002538E4">
      <w:pPr>
        <w:spacing w:after="200" w:line="276" w:lineRule="auto"/>
        <w:jc w:val="both"/>
        <w:rPr>
          <w:rFonts w:ascii="Times New Roman" w:eastAsia="Calibri" w:hAnsi="Times New Roman" w:cs="Times New Roman"/>
        </w:rPr>
      </w:pPr>
      <w:r>
        <w:rPr>
          <w:rFonts w:ascii="Times New Roman" w:eastAsia="Calibri" w:hAnsi="Times New Roman" w:cs="Times New Roman"/>
        </w:rPr>
        <w:t>Further</w:t>
      </w:r>
      <w:r w:rsidR="008351B8" w:rsidRPr="005B237A">
        <w:rPr>
          <w:rFonts w:ascii="Times New Roman" w:eastAsia="Calibri" w:hAnsi="Times New Roman" w:cs="Times New Roman"/>
        </w:rPr>
        <w:t>, when these issues were first raised, AMP did not immediately stop deducting fees until the problem was fixed. That would have been the honest thing to do, given the absolute certainty that unlawful fees were being extracted and</w:t>
      </w:r>
      <w:r w:rsidR="00A20687">
        <w:rPr>
          <w:rFonts w:ascii="Times New Roman" w:eastAsia="Calibri" w:hAnsi="Times New Roman" w:cs="Times New Roman"/>
        </w:rPr>
        <w:t xml:space="preserve"> </w:t>
      </w:r>
      <w:r w:rsidR="008351B8" w:rsidRPr="005B237A">
        <w:rPr>
          <w:rFonts w:ascii="Times New Roman" w:eastAsia="Calibri" w:hAnsi="Times New Roman" w:cs="Times New Roman"/>
        </w:rPr>
        <w:t xml:space="preserve">there was no </w:t>
      </w:r>
      <w:r>
        <w:rPr>
          <w:rFonts w:ascii="Times New Roman" w:eastAsia="Calibri" w:hAnsi="Times New Roman" w:cs="Times New Roman"/>
        </w:rPr>
        <w:t xml:space="preserve">functioning </w:t>
      </w:r>
      <w:r w:rsidR="008351B8" w:rsidRPr="005B237A">
        <w:rPr>
          <w:rFonts w:ascii="Times New Roman" w:eastAsia="Calibri" w:hAnsi="Times New Roman" w:cs="Times New Roman"/>
        </w:rPr>
        <w:t xml:space="preserve">system in place to stop those unlawful takings. Rather, AMP </w:t>
      </w:r>
      <w:r w:rsidR="005B237A" w:rsidRPr="005B237A">
        <w:rPr>
          <w:rFonts w:ascii="Times New Roman" w:eastAsia="Calibri" w:hAnsi="Times New Roman" w:cs="Times New Roman"/>
        </w:rPr>
        <w:t xml:space="preserve">continued </w:t>
      </w:r>
      <w:r w:rsidR="008351B8" w:rsidRPr="005B237A">
        <w:rPr>
          <w:rFonts w:ascii="Times New Roman" w:eastAsia="Calibri" w:hAnsi="Times New Roman" w:cs="Times New Roman"/>
        </w:rPr>
        <w:t>to operate the systems, and take p</w:t>
      </w:r>
      <w:r w:rsidR="00AA3800">
        <w:rPr>
          <w:rFonts w:ascii="Times New Roman" w:eastAsia="Calibri" w:hAnsi="Times New Roman" w:cs="Times New Roman"/>
        </w:rPr>
        <w:t>rofits</w:t>
      </w:r>
      <w:r w:rsidR="008351B8" w:rsidRPr="005B237A">
        <w:rPr>
          <w:rFonts w:ascii="Times New Roman" w:eastAsia="Calibri" w:hAnsi="Times New Roman" w:cs="Times New Roman"/>
        </w:rPr>
        <w:t>.</w:t>
      </w:r>
    </w:p>
    <w:p w:rsidR="005B237A" w:rsidRPr="005B237A" w:rsidRDefault="008351B8" w:rsidP="002538E4">
      <w:pPr>
        <w:spacing w:after="200" w:line="276" w:lineRule="auto"/>
        <w:jc w:val="both"/>
        <w:rPr>
          <w:rFonts w:ascii="Times New Roman" w:eastAsia="Calibri" w:hAnsi="Times New Roman" w:cs="Times New Roman"/>
        </w:rPr>
      </w:pPr>
      <w:r w:rsidRPr="005B237A">
        <w:rPr>
          <w:rFonts w:ascii="Times New Roman" w:eastAsia="Calibri" w:hAnsi="Times New Roman" w:cs="Times New Roman"/>
        </w:rPr>
        <w:t>From the perspective of ‘systems intentionality’, this conduct is open to being characterised as both dishonest</w:t>
      </w:r>
      <w:r w:rsidR="005B237A" w:rsidRPr="005B237A">
        <w:rPr>
          <w:rFonts w:ascii="Times New Roman" w:eastAsia="Calibri" w:hAnsi="Times New Roman" w:cs="Times New Roman"/>
        </w:rPr>
        <w:t xml:space="preserve"> (or</w:t>
      </w:r>
      <w:r w:rsidR="006D6F1D">
        <w:rPr>
          <w:rFonts w:ascii="Times New Roman" w:eastAsia="Calibri" w:hAnsi="Times New Roman" w:cs="Times New Roman"/>
        </w:rPr>
        <w:t>, if different,</w:t>
      </w:r>
      <w:r w:rsidR="005B237A" w:rsidRPr="005B237A">
        <w:rPr>
          <w:rFonts w:ascii="Times New Roman" w:eastAsia="Calibri" w:hAnsi="Times New Roman" w:cs="Times New Roman"/>
        </w:rPr>
        <w:t xml:space="preserve"> ‘not honest’)</w:t>
      </w:r>
      <w:r w:rsidRPr="005B237A">
        <w:rPr>
          <w:rFonts w:ascii="Times New Roman" w:eastAsia="Calibri" w:hAnsi="Times New Roman" w:cs="Times New Roman"/>
        </w:rPr>
        <w:t xml:space="preserve"> and unconscionable. </w:t>
      </w:r>
      <w:r w:rsidR="00942757">
        <w:rPr>
          <w:rFonts w:ascii="Times New Roman" w:eastAsia="Calibri" w:hAnsi="Times New Roman" w:cs="Times New Roman"/>
        </w:rPr>
        <w:t>Similarly, from a civil</w:t>
      </w:r>
      <w:r w:rsidR="00A20687">
        <w:rPr>
          <w:rFonts w:ascii="Times New Roman" w:eastAsia="Calibri" w:hAnsi="Times New Roman" w:cs="Times New Roman"/>
        </w:rPr>
        <w:t xml:space="preserve"> penalties perspective, the conduct is open to being characterised as knowing and deliberate, and AMP’s conduct in response to the problem may be understood inconsistent with genuine corporate contrition and regret. </w:t>
      </w:r>
    </w:p>
    <w:p w:rsidR="00DF6A64" w:rsidRPr="00AA3800" w:rsidRDefault="00DF6A64" w:rsidP="002538E4">
      <w:pPr>
        <w:jc w:val="both"/>
        <w:rPr>
          <w:rFonts w:ascii="Times New Roman" w:hAnsi="Times New Roman" w:cs="Times New Roman"/>
        </w:rPr>
      </w:pPr>
      <w:r w:rsidRPr="00AA3800">
        <w:rPr>
          <w:rFonts w:ascii="Times New Roman" w:hAnsi="Times New Roman" w:cs="Times New Roman"/>
        </w:rPr>
        <w:t>For full explication, see:</w:t>
      </w:r>
    </w:p>
    <w:p w:rsidR="00DF6A64" w:rsidRPr="00AA3800" w:rsidRDefault="00DF6A64" w:rsidP="002538E4">
      <w:pPr>
        <w:pStyle w:val="ListParagraph"/>
        <w:numPr>
          <w:ilvl w:val="0"/>
          <w:numId w:val="2"/>
        </w:numPr>
        <w:jc w:val="both"/>
        <w:rPr>
          <w:rFonts w:ascii="Times New Roman" w:hAnsi="Times New Roman" w:cs="Times New Roman"/>
        </w:rPr>
      </w:pPr>
      <w:r w:rsidRPr="00AA3800">
        <w:rPr>
          <w:rFonts w:ascii="Times New Roman" w:hAnsi="Times New Roman" w:cs="Times New Roman"/>
        </w:rPr>
        <w:t xml:space="preserve">Elise Bant, ‘Culpable Corporate Minds’ (2021) 48(2) </w:t>
      </w:r>
      <w:r w:rsidRPr="00AA3800">
        <w:rPr>
          <w:rFonts w:ascii="Times New Roman" w:hAnsi="Times New Roman" w:cs="Times New Roman"/>
          <w:i/>
        </w:rPr>
        <w:t>University of Western Australia Law Review</w:t>
      </w:r>
      <w:r w:rsidR="00E364C2" w:rsidRPr="00AA3800">
        <w:rPr>
          <w:rFonts w:ascii="Times New Roman" w:hAnsi="Times New Roman" w:cs="Times New Roman"/>
          <w:i/>
        </w:rPr>
        <w:t xml:space="preserve"> </w:t>
      </w:r>
      <w:r w:rsidR="00E364C2" w:rsidRPr="00AA3800">
        <w:rPr>
          <w:rFonts w:ascii="Times New Roman" w:hAnsi="Times New Roman" w:cs="Times New Roman"/>
        </w:rPr>
        <w:t>352</w:t>
      </w:r>
      <w:r w:rsidRPr="00AA3800">
        <w:rPr>
          <w:rFonts w:ascii="Times New Roman" w:hAnsi="Times New Roman" w:cs="Times New Roman"/>
        </w:rPr>
        <w:t xml:space="preserve"> </w:t>
      </w:r>
      <w:hyperlink r:id="rId8" w:history="1">
        <w:r w:rsidR="00E364C2" w:rsidRPr="00AA3800">
          <w:rPr>
            <w:rStyle w:val="Hyperlink"/>
            <w:rFonts w:ascii="Times New Roman" w:hAnsi="Times New Roman" w:cs="Times New Roman"/>
            <w:lang w:val="en-GB"/>
          </w:rPr>
          <w:t>https://www.able.uwa.edu.au/centres/uwalr/issues/2021-volume-48,-issue-2</w:t>
        </w:r>
      </w:hyperlink>
    </w:p>
    <w:p w:rsidR="00DF6A64" w:rsidRPr="00AA3800" w:rsidRDefault="00DF6A64" w:rsidP="002538E4">
      <w:pPr>
        <w:pStyle w:val="ListParagraph"/>
        <w:numPr>
          <w:ilvl w:val="0"/>
          <w:numId w:val="2"/>
        </w:numPr>
        <w:jc w:val="both"/>
        <w:rPr>
          <w:rFonts w:ascii="Times New Roman" w:hAnsi="Times New Roman" w:cs="Times New Roman"/>
        </w:rPr>
      </w:pPr>
      <w:r w:rsidRPr="00AA3800">
        <w:rPr>
          <w:rFonts w:ascii="Times New Roman" w:hAnsi="Times New Roman" w:cs="Times New Roman"/>
        </w:rPr>
        <w:t xml:space="preserve">Elise Bant and Jeannie Marie Paterson, ‘Systems of Misconduct: Corporate Culpability and Statutory Unconscionability’ (2021) 15 </w:t>
      </w:r>
      <w:r w:rsidRPr="00AA3800">
        <w:rPr>
          <w:rFonts w:ascii="Times New Roman" w:hAnsi="Times New Roman" w:cs="Times New Roman"/>
          <w:i/>
        </w:rPr>
        <w:t>Journal of Equity</w:t>
      </w:r>
      <w:r w:rsidRPr="00AA3800">
        <w:rPr>
          <w:rFonts w:ascii="Times New Roman" w:hAnsi="Times New Roman" w:cs="Times New Roman"/>
        </w:rPr>
        <w:t xml:space="preserve"> </w:t>
      </w:r>
      <w:r w:rsidR="00E364C2" w:rsidRPr="00AA3800">
        <w:rPr>
          <w:rFonts w:ascii="Times New Roman" w:hAnsi="Times New Roman" w:cs="Times New Roman"/>
        </w:rPr>
        <w:t>63</w:t>
      </w:r>
    </w:p>
    <w:p w:rsidR="005B237A" w:rsidRPr="00AA3800" w:rsidRDefault="005B237A" w:rsidP="002538E4">
      <w:pPr>
        <w:pStyle w:val="ListParagraph"/>
        <w:numPr>
          <w:ilvl w:val="0"/>
          <w:numId w:val="2"/>
        </w:numPr>
        <w:jc w:val="both"/>
        <w:rPr>
          <w:rFonts w:ascii="Times New Roman" w:hAnsi="Times New Roman" w:cs="Times New Roman"/>
        </w:rPr>
      </w:pPr>
      <w:r w:rsidRPr="00AA3800">
        <w:rPr>
          <w:rFonts w:ascii="Times New Roman" w:hAnsi="Times New Roman" w:cs="Times New Roman"/>
        </w:rPr>
        <w:t xml:space="preserve">Elise Bant and Jeannie Marie Paterson, ‘Charging Dead Clients is Dishonest. Really? Who knew! Pursuit, 30 June 2021 </w:t>
      </w:r>
      <w:hyperlink r:id="rId9" w:history="1">
        <w:r w:rsidRPr="00AA3800">
          <w:rPr>
            <w:rStyle w:val="Hyperlink"/>
            <w:rFonts w:ascii="Times New Roman" w:hAnsi="Times New Roman" w:cs="Times New Roman"/>
          </w:rPr>
          <w:t>https://pursuit.unimelb.edu.au/articles/charging-dead-clients-is-dishonest-really-who-knew</w:t>
        </w:r>
      </w:hyperlink>
      <w:r w:rsidRPr="00AA3800">
        <w:rPr>
          <w:rFonts w:ascii="Times New Roman" w:hAnsi="Times New Roman" w:cs="Times New Roman"/>
        </w:rPr>
        <w:t xml:space="preserve"> </w:t>
      </w:r>
    </w:p>
    <w:sectPr w:rsidR="005B237A" w:rsidRPr="00AA3800">
      <w:footerReference w:type="default" r:id="rId10"/>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C27D65" w16cex:dateUtc="2021-08-14T07:35:00Z"/>
  <w16cex:commentExtensible w16cex:durableId="24C27DC1" w16cex:dateUtc="2021-08-14T07:37:00Z"/>
  <w16cex:commentExtensible w16cex:durableId="24C27C02" w16cex:dateUtc="2021-08-14T07:29:00Z"/>
  <w16cex:commentExtensible w16cex:durableId="24C27C8E" w16cex:dateUtc="2021-08-14T07:31:00Z"/>
  <w16cex:commentExtensible w16cex:durableId="24C27CED" w16cex:dateUtc="2021-08-14T07:33:00Z"/>
  <w16cex:commentExtensible w16cex:durableId="24C27D1E" w16cex:dateUtc="2021-08-14T07: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1E68C60" w16cid:durableId="24C27D65"/>
  <w16cid:commentId w16cid:paraId="5DDC2550" w16cid:durableId="24C27DC1"/>
  <w16cid:commentId w16cid:paraId="7385483F" w16cid:durableId="24C27C02"/>
  <w16cid:commentId w16cid:paraId="3BE83211" w16cid:durableId="24C27C8E"/>
  <w16cid:commentId w16cid:paraId="40AA6DCF" w16cid:durableId="24C27CED"/>
  <w16cid:commentId w16cid:paraId="5E5E06E9" w16cid:durableId="24C27D1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0880" w:rsidRDefault="00F80880" w:rsidP="00F0522F">
      <w:pPr>
        <w:spacing w:after="0" w:line="240" w:lineRule="auto"/>
      </w:pPr>
      <w:r>
        <w:separator/>
      </w:r>
    </w:p>
  </w:endnote>
  <w:endnote w:type="continuationSeparator" w:id="0">
    <w:p w:rsidR="00F80880" w:rsidRDefault="00F80880" w:rsidP="00F05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4178793"/>
      <w:docPartObj>
        <w:docPartGallery w:val="Page Numbers (Bottom of Page)"/>
        <w:docPartUnique/>
      </w:docPartObj>
    </w:sdtPr>
    <w:sdtEndPr>
      <w:rPr>
        <w:noProof/>
      </w:rPr>
    </w:sdtEndPr>
    <w:sdtContent>
      <w:p w:rsidR="00F0522F" w:rsidRDefault="00F0522F">
        <w:pPr>
          <w:pStyle w:val="Footer"/>
          <w:jc w:val="right"/>
        </w:pPr>
        <w:r>
          <w:fldChar w:fldCharType="begin"/>
        </w:r>
        <w:r>
          <w:instrText xml:space="preserve"> PAGE   \* MERGEFORMAT </w:instrText>
        </w:r>
        <w:r>
          <w:fldChar w:fldCharType="separate"/>
        </w:r>
        <w:r w:rsidR="00F169FC">
          <w:rPr>
            <w:noProof/>
          </w:rPr>
          <w:t>2</w:t>
        </w:r>
        <w:r>
          <w:rPr>
            <w:noProof/>
          </w:rPr>
          <w:fldChar w:fldCharType="end"/>
        </w:r>
      </w:p>
    </w:sdtContent>
  </w:sdt>
  <w:p w:rsidR="00F0522F" w:rsidRDefault="00F052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0880" w:rsidRDefault="00F80880" w:rsidP="00F0522F">
      <w:pPr>
        <w:spacing w:after="0" w:line="240" w:lineRule="auto"/>
      </w:pPr>
      <w:r>
        <w:separator/>
      </w:r>
    </w:p>
  </w:footnote>
  <w:footnote w:type="continuationSeparator" w:id="0">
    <w:p w:rsidR="00F80880" w:rsidRDefault="00F80880" w:rsidP="00F052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608ED"/>
    <w:multiLevelType w:val="multilevel"/>
    <w:tmpl w:val="3BD6D2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CCE5139"/>
    <w:multiLevelType w:val="hybridMultilevel"/>
    <w:tmpl w:val="6AC6B5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CDC5A05"/>
    <w:multiLevelType w:val="hybridMultilevel"/>
    <w:tmpl w:val="C6BE120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60404D78"/>
    <w:multiLevelType w:val="hybridMultilevel"/>
    <w:tmpl w:val="B308DC5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65635356"/>
    <w:multiLevelType w:val="multilevel"/>
    <w:tmpl w:val="3BD6D2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6BD0DEA"/>
    <w:multiLevelType w:val="multilevel"/>
    <w:tmpl w:val="3BD6D2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2"/>
  </w:num>
  <w:num w:numId="4">
    <w:abstractNumId w:val="4"/>
    <w:lvlOverride w:ilvl="0">
      <w:startOverride w:val="3"/>
    </w:lvlOverride>
  </w:num>
  <w:num w:numId="5">
    <w:abstractNumId w:val="5"/>
  </w:num>
  <w:num w:numId="6">
    <w:abstractNumId w:val="0"/>
    <w:lvlOverride w:ilvl="0">
      <w:startOverride w:val="1"/>
    </w:lvlOverride>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A64"/>
    <w:rsid w:val="00014D76"/>
    <w:rsid w:val="00082485"/>
    <w:rsid w:val="001242D6"/>
    <w:rsid w:val="001D4191"/>
    <w:rsid w:val="001E635B"/>
    <w:rsid w:val="00200290"/>
    <w:rsid w:val="00227532"/>
    <w:rsid w:val="002538E4"/>
    <w:rsid w:val="002720E3"/>
    <w:rsid w:val="002D6093"/>
    <w:rsid w:val="0034772A"/>
    <w:rsid w:val="003D66DB"/>
    <w:rsid w:val="003E5C1C"/>
    <w:rsid w:val="00551959"/>
    <w:rsid w:val="005B237A"/>
    <w:rsid w:val="006D5F48"/>
    <w:rsid w:val="006D6F1D"/>
    <w:rsid w:val="00727BEB"/>
    <w:rsid w:val="00745F57"/>
    <w:rsid w:val="0077237A"/>
    <w:rsid w:val="00784C84"/>
    <w:rsid w:val="00800C4E"/>
    <w:rsid w:val="008351B8"/>
    <w:rsid w:val="00874ECF"/>
    <w:rsid w:val="008804DB"/>
    <w:rsid w:val="00887949"/>
    <w:rsid w:val="00896669"/>
    <w:rsid w:val="008F42AC"/>
    <w:rsid w:val="00906424"/>
    <w:rsid w:val="00942757"/>
    <w:rsid w:val="009A5EF1"/>
    <w:rsid w:val="009B7D8E"/>
    <w:rsid w:val="00A20687"/>
    <w:rsid w:val="00A45BD0"/>
    <w:rsid w:val="00A87968"/>
    <w:rsid w:val="00AA3800"/>
    <w:rsid w:val="00AD6B15"/>
    <w:rsid w:val="00AE527B"/>
    <w:rsid w:val="00CF0AFF"/>
    <w:rsid w:val="00D03D8E"/>
    <w:rsid w:val="00D5498F"/>
    <w:rsid w:val="00D5627D"/>
    <w:rsid w:val="00DF6A64"/>
    <w:rsid w:val="00E364C2"/>
    <w:rsid w:val="00EB019D"/>
    <w:rsid w:val="00EE4038"/>
    <w:rsid w:val="00EF6A84"/>
    <w:rsid w:val="00F0429B"/>
    <w:rsid w:val="00F0522F"/>
    <w:rsid w:val="00F169FC"/>
    <w:rsid w:val="00F80880"/>
    <w:rsid w:val="00FE1AA9"/>
    <w:rsid w:val="00FE51D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A48196"/>
  <w15:chartTrackingRefBased/>
  <w15:docId w15:val="{5865C4A4-2914-41CF-9BD4-009436C1B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6A64"/>
    <w:pPr>
      <w:ind w:left="720"/>
      <w:contextualSpacing/>
    </w:pPr>
  </w:style>
  <w:style w:type="character" w:styleId="Hyperlink">
    <w:name w:val="Hyperlink"/>
    <w:basedOn w:val="DefaultParagraphFont"/>
    <w:uiPriority w:val="99"/>
    <w:unhideWhenUsed/>
    <w:rsid w:val="00DF6A64"/>
    <w:rPr>
      <w:color w:val="0563C1"/>
      <w:u w:val="single"/>
    </w:rPr>
  </w:style>
  <w:style w:type="character" w:styleId="FollowedHyperlink">
    <w:name w:val="FollowedHyperlink"/>
    <w:basedOn w:val="DefaultParagraphFont"/>
    <w:uiPriority w:val="99"/>
    <w:semiHidden/>
    <w:unhideWhenUsed/>
    <w:rsid w:val="00E364C2"/>
    <w:rPr>
      <w:color w:val="954F72" w:themeColor="followedHyperlink"/>
      <w:u w:val="single"/>
    </w:rPr>
  </w:style>
  <w:style w:type="paragraph" w:styleId="FootnoteText">
    <w:name w:val="footnote text"/>
    <w:aliases w:val="Footnote Text Char2 Char,Footnote Text Char1 Char Char2,Footnote Text Char Char Char Char2,Footnote Text Char2 Char Char Char Char1,Footnote Text Char1 Char Char Char Char Char1,Footnote Text Char2,Footnote Text Char Char Char,Footnotes,C"/>
    <w:basedOn w:val="Normal"/>
    <w:link w:val="FootnoteTextChar"/>
    <w:uiPriority w:val="99"/>
    <w:unhideWhenUsed/>
    <w:qFormat/>
    <w:rsid w:val="00F0522F"/>
    <w:pPr>
      <w:spacing w:after="0" w:line="240" w:lineRule="auto"/>
    </w:pPr>
    <w:rPr>
      <w:sz w:val="20"/>
      <w:szCs w:val="20"/>
    </w:rPr>
  </w:style>
  <w:style w:type="character" w:customStyle="1" w:styleId="FootnoteTextChar">
    <w:name w:val="Footnote Text Char"/>
    <w:aliases w:val="Footnote Text Char2 Char Char,Footnote Text Char1 Char Char2 Char,Footnote Text Char Char Char Char2 Char,Footnote Text Char2 Char Char Char Char1 Char,Footnote Text Char1 Char Char Char Char Char1 Char,Footnote Text Char2 Char1"/>
    <w:basedOn w:val="DefaultParagraphFont"/>
    <w:link w:val="FootnoteText"/>
    <w:uiPriority w:val="99"/>
    <w:rsid w:val="00F0522F"/>
    <w:rPr>
      <w:sz w:val="20"/>
      <w:szCs w:val="20"/>
    </w:rPr>
  </w:style>
  <w:style w:type="character" w:styleId="FootnoteReference">
    <w:name w:val="footnote reference"/>
    <w:aliases w:val="Footnotemark,FR,Footnotemark1,Footnotemark2,FR1,Footnotemark3,FR2,Footnotemark4,FR3,Footnotemark5,FR4,Footnotemark6,Footnotemark7,Footnotemark8,FR5,Footnotemark11,Footnotemark21,FR11,Footnotemark31,FR21,Footnotemark41,FR31,FR41,FR6"/>
    <w:basedOn w:val="DefaultParagraphFont"/>
    <w:uiPriority w:val="99"/>
    <w:unhideWhenUsed/>
    <w:qFormat/>
    <w:rsid w:val="00F0522F"/>
    <w:rPr>
      <w:vertAlign w:val="superscript"/>
    </w:rPr>
  </w:style>
  <w:style w:type="paragraph" w:styleId="Header">
    <w:name w:val="header"/>
    <w:basedOn w:val="Normal"/>
    <w:link w:val="HeaderChar"/>
    <w:uiPriority w:val="99"/>
    <w:unhideWhenUsed/>
    <w:rsid w:val="00F052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522F"/>
  </w:style>
  <w:style w:type="paragraph" w:styleId="Footer">
    <w:name w:val="footer"/>
    <w:basedOn w:val="Normal"/>
    <w:link w:val="FooterChar"/>
    <w:uiPriority w:val="99"/>
    <w:unhideWhenUsed/>
    <w:rsid w:val="00F052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522F"/>
  </w:style>
  <w:style w:type="character" w:styleId="CommentReference">
    <w:name w:val="annotation reference"/>
    <w:basedOn w:val="DefaultParagraphFont"/>
    <w:uiPriority w:val="99"/>
    <w:semiHidden/>
    <w:unhideWhenUsed/>
    <w:rsid w:val="00082485"/>
    <w:rPr>
      <w:sz w:val="16"/>
      <w:szCs w:val="16"/>
    </w:rPr>
  </w:style>
  <w:style w:type="paragraph" w:styleId="CommentText">
    <w:name w:val="annotation text"/>
    <w:basedOn w:val="Normal"/>
    <w:link w:val="CommentTextChar"/>
    <w:uiPriority w:val="99"/>
    <w:semiHidden/>
    <w:unhideWhenUsed/>
    <w:rsid w:val="00082485"/>
    <w:pPr>
      <w:spacing w:line="240" w:lineRule="auto"/>
    </w:pPr>
    <w:rPr>
      <w:sz w:val="20"/>
      <w:szCs w:val="20"/>
    </w:rPr>
  </w:style>
  <w:style w:type="character" w:customStyle="1" w:styleId="CommentTextChar">
    <w:name w:val="Comment Text Char"/>
    <w:basedOn w:val="DefaultParagraphFont"/>
    <w:link w:val="CommentText"/>
    <w:uiPriority w:val="99"/>
    <w:semiHidden/>
    <w:rsid w:val="00082485"/>
    <w:rPr>
      <w:sz w:val="20"/>
      <w:szCs w:val="20"/>
    </w:rPr>
  </w:style>
  <w:style w:type="paragraph" w:styleId="CommentSubject">
    <w:name w:val="annotation subject"/>
    <w:basedOn w:val="CommentText"/>
    <w:next w:val="CommentText"/>
    <w:link w:val="CommentSubjectChar"/>
    <w:uiPriority w:val="99"/>
    <w:semiHidden/>
    <w:unhideWhenUsed/>
    <w:rsid w:val="00082485"/>
    <w:rPr>
      <w:b/>
      <w:bCs/>
    </w:rPr>
  </w:style>
  <w:style w:type="character" w:customStyle="1" w:styleId="CommentSubjectChar">
    <w:name w:val="Comment Subject Char"/>
    <w:basedOn w:val="CommentTextChar"/>
    <w:link w:val="CommentSubject"/>
    <w:uiPriority w:val="99"/>
    <w:semiHidden/>
    <w:rsid w:val="00082485"/>
    <w:rPr>
      <w:b/>
      <w:bCs/>
      <w:sz w:val="20"/>
      <w:szCs w:val="20"/>
    </w:rPr>
  </w:style>
  <w:style w:type="paragraph" w:styleId="Revision">
    <w:name w:val="Revision"/>
    <w:hidden/>
    <w:uiPriority w:val="99"/>
    <w:semiHidden/>
    <w:rsid w:val="00082485"/>
    <w:pPr>
      <w:spacing w:after="0" w:line="240" w:lineRule="auto"/>
    </w:pPr>
  </w:style>
  <w:style w:type="paragraph" w:styleId="BalloonText">
    <w:name w:val="Balloon Text"/>
    <w:basedOn w:val="Normal"/>
    <w:link w:val="BalloonTextChar"/>
    <w:uiPriority w:val="99"/>
    <w:semiHidden/>
    <w:unhideWhenUsed/>
    <w:rsid w:val="002002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0290"/>
    <w:rPr>
      <w:rFonts w:ascii="Segoe UI" w:hAnsi="Segoe UI" w:cs="Segoe UI"/>
      <w:sz w:val="18"/>
      <w:szCs w:val="18"/>
    </w:rPr>
  </w:style>
  <w:style w:type="paragraph" w:customStyle="1" w:styleId="Note">
    <w:name w:val="†Note"/>
    <w:rsid w:val="00F0429B"/>
    <w:pPr>
      <w:spacing w:after="0" w:line="480" w:lineRule="auto"/>
      <w:ind w:left="720" w:hanging="720"/>
    </w:pPr>
    <w:rPr>
      <w:rFonts w:ascii="Times New Roman" w:eastAsia="Times New Roman" w:hAnsi="Times New Roman" w:cs="Times New Roman"/>
      <w:sz w:val="24"/>
      <w:szCs w:val="24"/>
      <w:lang w:val="en-US"/>
    </w:rPr>
  </w:style>
  <w:style w:type="character" w:customStyle="1" w:styleId="FnXref">
    <w:name w:val="FnXref"/>
    <w:rsid w:val="00F0429B"/>
    <w:rPr>
      <w:color w:val="0000FF"/>
      <w:bdr w:val="single" w:sz="4" w:space="0" w:color="auto"/>
      <w:vertAlign w:val="superscript"/>
    </w:rPr>
  </w:style>
  <w:style w:type="character" w:customStyle="1" w:styleId="label">
    <w:name w:val="label"/>
    <w:basedOn w:val="DefaultParagraphFont"/>
    <w:rsid w:val="00F042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3118191">
      <w:bodyDiv w:val="1"/>
      <w:marLeft w:val="0"/>
      <w:marRight w:val="0"/>
      <w:marTop w:val="0"/>
      <w:marBottom w:val="0"/>
      <w:divBdr>
        <w:top w:val="none" w:sz="0" w:space="0" w:color="auto"/>
        <w:left w:val="none" w:sz="0" w:space="0" w:color="auto"/>
        <w:bottom w:val="none" w:sz="0" w:space="0" w:color="auto"/>
        <w:right w:val="none" w:sz="0" w:space="0" w:color="auto"/>
      </w:divBdr>
    </w:div>
    <w:div w:id="765614531">
      <w:bodyDiv w:val="1"/>
      <w:marLeft w:val="0"/>
      <w:marRight w:val="0"/>
      <w:marTop w:val="0"/>
      <w:marBottom w:val="0"/>
      <w:divBdr>
        <w:top w:val="none" w:sz="0" w:space="0" w:color="auto"/>
        <w:left w:val="none" w:sz="0" w:space="0" w:color="auto"/>
        <w:bottom w:val="none" w:sz="0" w:space="0" w:color="auto"/>
        <w:right w:val="none" w:sz="0" w:space="0" w:color="auto"/>
      </w:divBdr>
    </w:div>
    <w:div w:id="1225069109">
      <w:bodyDiv w:val="1"/>
      <w:marLeft w:val="0"/>
      <w:marRight w:val="0"/>
      <w:marTop w:val="0"/>
      <w:marBottom w:val="0"/>
      <w:divBdr>
        <w:top w:val="none" w:sz="0" w:space="0" w:color="auto"/>
        <w:left w:val="none" w:sz="0" w:space="0" w:color="auto"/>
        <w:bottom w:val="none" w:sz="0" w:space="0" w:color="auto"/>
        <w:right w:val="none" w:sz="0" w:space="0" w:color="auto"/>
      </w:divBdr>
    </w:div>
    <w:div w:id="1234778928">
      <w:bodyDiv w:val="1"/>
      <w:marLeft w:val="0"/>
      <w:marRight w:val="0"/>
      <w:marTop w:val="0"/>
      <w:marBottom w:val="0"/>
      <w:divBdr>
        <w:top w:val="none" w:sz="0" w:space="0" w:color="auto"/>
        <w:left w:val="none" w:sz="0" w:space="0" w:color="auto"/>
        <w:bottom w:val="none" w:sz="0" w:space="0" w:color="auto"/>
        <w:right w:val="none" w:sz="0" w:space="0" w:color="auto"/>
      </w:divBdr>
    </w:div>
    <w:div w:id="1750541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us01.safelinks.protection.outlook.com/?url=https%3A%2F%2Fwww.able.uwa.edu.au%2Fcentres%2Fuwalr%2Fissues%2F2021-volume-48%2C-issue-2&amp;data=04%7C01%7Celise.bant%40uwa.edu.au%7C4069c3b9962c48b463b008d9526be5b0%7C05894af0cb2846d8871674cdb46e2226%7C1%7C0%7C637631445641017844%7CUnknown%7CTWFpbGZsb3d8eyJWIjoiMC4wLjAwMDAiLCJQIjoiV2luMzIiLCJBTiI6Ik1haWwiLCJXVCI6Mn0%3D%7C1000&amp;sdata=fFxt08oOU8s7Es3Y4EfP8040W%2FesAuE15iKCqFC31ZU%3D&amp;reserved=0" TargetMode="External"/><Relationship Id="rId3" Type="http://schemas.openxmlformats.org/officeDocument/2006/relationships/settings" Target="settings.xml"/><Relationship Id="rId7" Type="http://schemas.openxmlformats.org/officeDocument/2006/relationships/hyperlink" Target="https://www.uwa.edu.au/schools/research/unravelling-corporate-fraud-re-purposing-ancient-doctrines-for-modern-times" TargetMode="External"/><Relationship Id="rId12" Type="http://schemas.openxmlformats.org/officeDocument/2006/relationships/theme" Target="theme/theme1.xml"/><Relationship Id="rId17" Type="http://schemas.microsoft.com/office/2016/09/relationships/commentsIds" Target="commentsIds.xml"/><Relationship Id="rId2" Type="http://schemas.openxmlformats.org/officeDocument/2006/relationships/styles" Target="styles.xml"/><Relationship Id="rId16"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pursuit.unimelb.edu.au/articles/charging-dead-clients-is-dishonest-really-who-kn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3764</Words>
  <Characters>21455</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University Western Australia</Company>
  <LinksUpToDate>false</LinksUpToDate>
  <CharactersWithSpaces>25169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Elise Bant</dc:creator>
  <cp:keywords/>
  <dc:description/>
  <cp:lastModifiedBy>Elise Bant</cp:lastModifiedBy>
  <cp:revision>3</cp:revision>
  <cp:lastPrinted>2021-08-26T03:36:00Z</cp:lastPrinted>
  <dcterms:created xsi:type="dcterms:W3CDTF">2021-08-18T05:54:00Z</dcterms:created>
  <dcterms:modified xsi:type="dcterms:W3CDTF">2021-08-18T06:04:00Z</dcterms:modified>
</cp:coreProperties>
</file>